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3F0A" w14:textId="360EA99C" w:rsidR="001A096B" w:rsidRPr="001A096B" w:rsidRDefault="001A096B" w:rsidP="001A096B">
      <w:pPr>
        <w:shd w:val="clear" w:color="auto" w:fill="FFFFFF"/>
        <w:spacing w:before="240" w:after="240" w:line="240" w:lineRule="auto"/>
        <w:jc w:val="center"/>
        <w:rPr>
          <w:rFonts w:ascii="Times New Roman" w:eastAsia="Times New Roman" w:hAnsi="Times New Roman" w:cs="Times New Roman"/>
          <w:b/>
          <w:bCs/>
          <w:color w:val="0F1115"/>
          <w:sz w:val="28"/>
          <w:szCs w:val="28"/>
          <w:lang w:eastAsia="ru-RU"/>
        </w:rPr>
      </w:pPr>
      <w:r w:rsidRPr="001A096B">
        <w:rPr>
          <w:rFonts w:ascii="Times New Roman" w:eastAsia="Times New Roman" w:hAnsi="Times New Roman" w:cs="Times New Roman"/>
          <w:b/>
          <w:bCs/>
          <w:color w:val="0F1115"/>
          <w:sz w:val="28"/>
          <w:szCs w:val="28"/>
          <w:lang w:eastAsia="ru-RU"/>
        </w:rPr>
        <w:t>Аналитическая записка</w:t>
      </w:r>
    </w:p>
    <w:p w14:paraId="67E98E87" w14:textId="53A61E3F" w:rsidR="001A096B" w:rsidRPr="001A096B" w:rsidRDefault="00BD431D" w:rsidP="001A096B">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r w:rsidRPr="001A096B">
        <w:rPr>
          <w:rFonts w:ascii="Times New Roman" w:eastAsia="Times New Roman" w:hAnsi="Times New Roman" w:cs="Times New Roman"/>
          <w:b/>
          <w:bCs/>
          <w:color w:val="0F1115"/>
          <w:sz w:val="24"/>
          <w:szCs w:val="24"/>
          <w:lang w:eastAsia="ru-RU"/>
        </w:rPr>
        <w:t>Сравнительный</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анализ</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природы</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инфляции</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в</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промышленности</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и</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на</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потребительском</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рынке</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Российской</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Федерации</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на</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основе</w:t>
      </w:r>
      <w:r w:rsidR="00CC3C7F" w:rsidRPr="001A096B">
        <w:rPr>
          <w:rFonts w:ascii="Times New Roman" w:eastAsia="Times New Roman" w:hAnsi="Times New Roman" w:cs="Times New Roman"/>
          <w:b/>
          <w:bCs/>
          <w:color w:val="0F1115"/>
          <w:sz w:val="24"/>
          <w:szCs w:val="24"/>
          <w:lang w:eastAsia="ru-RU"/>
        </w:rPr>
        <w:t xml:space="preserve"> </w:t>
      </w:r>
      <w:r w:rsidR="00761710" w:rsidRPr="001A096B">
        <w:rPr>
          <w:rFonts w:ascii="Times New Roman" w:eastAsia="Times New Roman" w:hAnsi="Times New Roman" w:cs="Times New Roman"/>
          <w:b/>
          <w:bCs/>
          <w:color w:val="0F1115"/>
          <w:sz w:val="24"/>
          <w:szCs w:val="24"/>
          <w:lang w:eastAsia="ru-RU"/>
        </w:rPr>
        <w:t>рабочего</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подхода,</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основанного</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на</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выявлении</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в</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моменте</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4х</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вариантов</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комбинации</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инфляции</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и</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объема</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выпуска/продаж</w:t>
      </w:r>
      <w:r w:rsidR="00CC3C7F" w:rsidRPr="001A096B">
        <w:rPr>
          <w:rFonts w:ascii="Times New Roman" w:eastAsia="Times New Roman" w:hAnsi="Times New Roman" w:cs="Times New Roman"/>
          <w:b/>
          <w:bCs/>
          <w:color w:val="0F1115"/>
          <w:sz w:val="24"/>
          <w:szCs w:val="24"/>
          <w:lang w:eastAsia="ru-RU"/>
        </w:rPr>
        <w:t xml:space="preserve"> </w:t>
      </w:r>
      <w:r w:rsidR="00B76C51" w:rsidRPr="001A096B">
        <w:rPr>
          <w:rFonts w:ascii="Times New Roman" w:eastAsia="Times New Roman" w:hAnsi="Times New Roman" w:cs="Times New Roman"/>
          <w:b/>
          <w:bCs/>
          <w:color w:val="0F1115"/>
          <w:sz w:val="24"/>
          <w:szCs w:val="24"/>
          <w:lang w:eastAsia="ru-RU"/>
        </w:rPr>
        <w:t>(</w:t>
      </w:r>
      <w:r w:rsidR="000A42F5" w:rsidRPr="001A096B">
        <w:rPr>
          <w:rFonts w:ascii="Times New Roman" w:eastAsia="Times New Roman" w:hAnsi="Times New Roman" w:cs="Times New Roman"/>
          <w:b/>
          <w:bCs/>
          <w:color w:val="0F1115"/>
          <w:sz w:val="24"/>
          <w:szCs w:val="24"/>
          <w:lang w:eastAsia="ru-RU"/>
        </w:rPr>
        <w:t>упрощенной</w:t>
      </w:r>
      <w:r w:rsidR="006844FE" w:rsidRPr="001A096B">
        <w:rPr>
          <w:rStyle w:val="a7"/>
          <w:rFonts w:ascii="Times New Roman" w:eastAsia="Times New Roman" w:hAnsi="Times New Roman" w:cs="Times New Roman"/>
          <w:b/>
          <w:bCs/>
          <w:color w:val="0F1115"/>
          <w:sz w:val="24"/>
          <w:szCs w:val="24"/>
          <w:lang w:eastAsia="ru-RU"/>
        </w:rPr>
        <w:footnoteReference w:id="1"/>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адаптации</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модельных</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разработок</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А.</w:t>
      </w:r>
      <w:r w:rsidR="00CC3C7F" w:rsidRPr="001A096B">
        <w:rPr>
          <w:rFonts w:ascii="Times New Roman" w:eastAsia="Times New Roman" w:hAnsi="Times New Roman" w:cs="Times New Roman"/>
          <w:b/>
          <w:bCs/>
          <w:color w:val="0F1115"/>
          <w:sz w:val="24"/>
          <w:szCs w:val="24"/>
          <w:lang w:eastAsia="ru-RU"/>
        </w:rPr>
        <w:t xml:space="preserve"> </w:t>
      </w:r>
      <w:r w:rsidRPr="001A096B">
        <w:rPr>
          <w:rFonts w:ascii="Times New Roman" w:eastAsia="Times New Roman" w:hAnsi="Times New Roman" w:cs="Times New Roman"/>
          <w:b/>
          <w:bCs/>
          <w:color w:val="0F1115"/>
          <w:sz w:val="24"/>
          <w:szCs w:val="24"/>
          <w:lang w:eastAsia="ru-RU"/>
        </w:rPr>
        <w:t>Шапиро</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и</w:t>
      </w:r>
      <w:r w:rsidR="00CC3C7F" w:rsidRPr="001A096B">
        <w:rPr>
          <w:rFonts w:ascii="Times New Roman" w:eastAsia="Times New Roman" w:hAnsi="Times New Roman" w:cs="Times New Roman"/>
          <w:b/>
          <w:bCs/>
          <w:color w:val="0F1115"/>
          <w:sz w:val="24"/>
          <w:szCs w:val="24"/>
          <w:lang w:eastAsia="ru-RU"/>
        </w:rPr>
        <w:t xml:space="preserve"> </w:t>
      </w:r>
      <w:r w:rsidR="000A42F5" w:rsidRPr="001A096B">
        <w:rPr>
          <w:rFonts w:ascii="Times New Roman" w:eastAsia="Times New Roman" w:hAnsi="Times New Roman" w:cs="Times New Roman"/>
          <w:b/>
          <w:bCs/>
          <w:color w:val="0F1115"/>
          <w:sz w:val="24"/>
          <w:szCs w:val="24"/>
          <w:lang w:eastAsia="ru-RU"/>
        </w:rPr>
        <w:t>В.</w:t>
      </w:r>
      <w:r w:rsidR="00CC3C7F" w:rsidRPr="001A096B">
        <w:rPr>
          <w:rFonts w:ascii="Times New Roman" w:eastAsia="Times New Roman" w:hAnsi="Times New Roman" w:cs="Times New Roman"/>
          <w:b/>
          <w:bCs/>
          <w:color w:val="0F1115"/>
          <w:sz w:val="24"/>
          <w:szCs w:val="24"/>
          <w:lang w:eastAsia="ru-RU"/>
        </w:rPr>
        <w:t xml:space="preserve"> </w:t>
      </w:r>
      <w:proofErr w:type="spellStart"/>
      <w:r w:rsidRPr="001A096B">
        <w:rPr>
          <w:rFonts w:ascii="Times New Roman" w:eastAsia="Times New Roman" w:hAnsi="Times New Roman" w:cs="Times New Roman"/>
          <w:b/>
          <w:bCs/>
          <w:color w:val="0F1115"/>
          <w:sz w:val="24"/>
          <w:szCs w:val="24"/>
          <w:lang w:eastAsia="ru-RU"/>
        </w:rPr>
        <w:t>Шеремирова</w:t>
      </w:r>
      <w:proofErr w:type="spellEnd"/>
      <w:r w:rsidR="00B76C51" w:rsidRPr="001A096B">
        <w:rPr>
          <w:rFonts w:ascii="Times New Roman" w:eastAsia="Times New Roman" w:hAnsi="Times New Roman" w:cs="Times New Roman"/>
          <w:b/>
          <w:bCs/>
          <w:color w:val="0F1115"/>
          <w:sz w:val="24"/>
          <w:szCs w:val="24"/>
          <w:lang w:eastAsia="ru-RU"/>
        </w:rPr>
        <w:t>)</w:t>
      </w:r>
    </w:p>
    <w:p w14:paraId="10D0FDEB" w14:textId="55B7ADE5" w:rsidR="00BD431D" w:rsidRPr="001A096B" w:rsidRDefault="001A096B" w:rsidP="00BD431D">
      <w:pPr>
        <w:shd w:val="clear" w:color="auto" w:fill="FFFFFF"/>
        <w:spacing w:before="240" w:after="240" w:line="240" w:lineRule="auto"/>
        <w:rPr>
          <w:rFonts w:ascii="Times New Roman" w:eastAsia="Times New Roman" w:hAnsi="Times New Roman" w:cs="Times New Roman"/>
          <w:b/>
          <w:bCs/>
          <w:color w:val="0F1115"/>
          <w:sz w:val="24"/>
          <w:szCs w:val="24"/>
          <w:lang w:eastAsia="ru-RU"/>
        </w:rPr>
      </w:pPr>
      <w:r w:rsidRPr="001A096B">
        <w:rPr>
          <w:rFonts w:ascii="Times New Roman" w:eastAsia="Times New Roman" w:hAnsi="Times New Roman" w:cs="Times New Roman"/>
          <w:b/>
          <w:bCs/>
          <w:color w:val="0F1115"/>
          <w:sz w:val="24"/>
          <w:szCs w:val="24"/>
          <w:lang w:eastAsia="ru-RU"/>
        </w:rPr>
        <w:t>Д</w:t>
      </w:r>
      <w:r w:rsidR="00BD431D" w:rsidRPr="001A096B">
        <w:rPr>
          <w:rFonts w:ascii="Times New Roman" w:eastAsia="Times New Roman" w:hAnsi="Times New Roman" w:cs="Times New Roman"/>
          <w:b/>
          <w:bCs/>
          <w:color w:val="0F1115"/>
          <w:sz w:val="24"/>
          <w:szCs w:val="24"/>
          <w:lang w:eastAsia="ru-RU"/>
        </w:rPr>
        <w:t>анные</w:t>
      </w:r>
      <w:r w:rsidR="00CC3C7F" w:rsidRPr="001A096B">
        <w:rPr>
          <w:rFonts w:ascii="Times New Roman" w:eastAsia="Times New Roman" w:hAnsi="Times New Roman" w:cs="Times New Roman"/>
          <w:b/>
          <w:bCs/>
          <w:color w:val="0F1115"/>
          <w:sz w:val="24"/>
          <w:szCs w:val="24"/>
          <w:lang w:eastAsia="ru-RU"/>
        </w:rPr>
        <w:t xml:space="preserve"> </w:t>
      </w:r>
      <w:r w:rsidR="00BD431D" w:rsidRPr="001A096B">
        <w:rPr>
          <w:rFonts w:ascii="Times New Roman" w:eastAsia="Times New Roman" w:hAnsi="Times New Roman" w:cs="Times New Roman"/>
          <w:b/>
          <w:bCs/>
          <w:color w:val="0F1115"/>
          <w:sz w:val="24"/>
          <w:szCs w:val="24"/>
          <w:lang w:eastAsia="ru-RU"/>
        </w:rPr>
        <w:t>за</w:t>
      </w:r>
      <w:r w:rsidR="00CC3C7F" w:rsidRPr="001A096B">
        <w:rPr>
          <w:rFonts w:ascii="Times New Roman" w:eastAsia="Times New Roman" w:hAnsi="Times New Roman" w:cs="Times New Roman"/>
          <w:b/>
          <w:bCs/>
          <w:color w:val="0F1115"/>
          <w:sz w:val="24"/>
          <w:szCs w:val="24"/>
          <w:lang w:eastAsia="ru-RU"/>
        </w:rPr>
        <w:t xml:space="preserve"> </w:t>
      </w:r>
      <w:r w:rsidR="00BD431D" w:rsidRPr="001A096B">
        <w:rPr>
          <w:rFonts w:ascii="Times New Roman" w:eastAsia="Times New Roman" w:hAnsi="Times New Roman" w:cs="Times New Roman"/>
          <w:b/>
          <w:bCs/>
          <w:color w:val="0F1115"/>
          <w:sz w:val="24"/>
          <w:szCs w:val="24"/>
          <w:lang w:eastAsia="ru-RU"/>
        </w:rPr>
        <w:t>январь–ноябрь</w:t>
      </w:r>
      <w:r w:rsidR="00CC3C7F" w:rsidRPr="001A096B">
        <w:rPr>
          <w:rFonts w:ascii="Times New Roman" w:eastAsia="Times New Roman" w:hAnsi="Times New Roman" w:cs="Times New Roman"/>
          <w:b/>
          <w:bCs/>
          <w:color w:val="0F1115"/>
          <w:sz w:val="24"/>
          <w:szCs w:val="24"/>
          <w:lang w:eastAsia="ru-RU"/>
        </w:rPr>
        <w:t xml:space="preserve"> </w:t>
      </w:r>
      <w:r w:rsidR="00BD431D" w:rsidRPr="001A096B">
        <w:rPr>
          <w:rFonts w:ascii="Times New Roman" w:eastAsia="Times New Roman" w:hAnsi="Times New Roman" w:cs="Times New Roman"/>
          <w:b/>
          <w:bCs/>
          <w:color w:val="0F1115"/>
          <w:sz w:val="24"/>
          <w:szCs w:val="24"/>
          <w:lang w:eastAsia="ru-RU"/>
        </w:rPr>
        <w:t>2025</w:t>
      </w:r>
      <w:r w:rsidR="00CC3C7F" w:rsidRPr="001A096B">
        <w:rPr>
          <w:rFonts w:ascii="Times New Roman" w:eastAsia="Times New Roman" w:hAnsi="Times New Roman" w:cs="Times New Roman"/>
          <w:b/>
          <w:bCs/>
          <w:color w:val="0F1115"/>
          <w:sz w:val="24"/>
          <w:szCs w:val="24"/>
          <w:lang w:eastAsia="ru-RU"/>
        </w:rPr>
        <w:t xml:space="preserve"> </w:t>
      </w:r>
      <w:r w:rsidR="00BD431D" w:rsidRPr="001A096B">
        <w:rPr>
          <w:rFonts w:ascii="Times New Roman" w:eastAsia="Times New Roman" w:hAnsi="Times New Roman" w:cs="Times New Roman"/>
          <w:b/>
          <w:bCs/>
          <w:color w:val="0F1115"/>
          <w:sz w:val="24"/>
          <w:szCs w:val="24"/>
          <w:lang w:eastAsia="ru-RU"/>
        </w:rPr>
        <w:t>г.</w:t>
      </w:r>
      <w:r w:rsidR="00761710" w:rsidRPr="001A096B">
        <w:rPr>
          <w:rStyle w:val="a7"/>
          <w:rFonts w:ascii="Times New Roman" w:eastAsia="Times New Roman" w:hAnsi="Times New Roman" w:cs="Times New Roman"/>
          <w:b/>
          <w:bCs/>
          <w:color w:val="0F1115"/>
          <w:sz w:val="24"/>
          <w:szCs w:val="24"/>
          <w:lang w:eastAsia="ru-RU"/>
        </w:rPr>
        <w:footnoteReference w:id="2"/>
      </w:r>
    </w:p>
    <w:p w14:paraId="652F4F12" w14:textId="698D05B5" w:rsidR="00BD431D" w:rsidRPr="00BD431D" w:rsidRDefault="00BD431D" w:rsidP="00BD431D">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BD431D">
        <w:rPr>
          <w:rFonts w:ascii="Times New Roman" w:eastAsia="Times New Roman" w:hAnsi="Times New Roman" w:cs="Times New Roman"/>
          <w:b/>
          <w:bCs/>
          <w:color w:val="0F1115"/>
          <w:sz w:val="24"/>
          <w:szCs w:val="24"/>
          <w:lang w:eastAsia="ru-RU"/>
        </w:rPr>
        <w:t>1.</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Методология</w:t>
      </w:r>
    </w:p>
    <w:p w14:paraId="62F944D9" w14:textId="75DE6F99"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Для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диагностики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типа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использована</w:t>
      </w:r>
      <w:r w:rsidR="00CC3C7F">
        <w:rPr>
          <w:rFonts w:ascii="Times New Roman" w:eastAsia="Times New Roman" w:hAnsi="Times New Roman" w:cs="Times New Roman"/>
          <w:color w:val="0F1115"/>
          <w:sz w:val="24"/>
          <w:szCs w:val="24"/>
          <w:lang w:eastAsia="ru-RU"/>
        </w:rPr>
        <w:t xml:space="preserve"> </w:t>
      </w:r>
      <w:r w:rsidR="00D74CB6">
        <w:rPr>
          <w:rFonts w:ascii="Times New Roman" w:eastAsia="Times New Roman" w:hAnsi="Times New Roman" w:cs="Times New Roman"/>
          <w:color w:val="0F1115"/>
          <w:sz w:val="24"/>
          <w:szCs w:val="24"/>
          <w:lang w:eastAsia="ru-RU"/>
        </w:rPr>
        <w:t>ситуативная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модель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«спрос–предложение»,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которая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сопоставляет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динамику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динамику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физических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sidR="00282C26">
        <w:rPr>
          <w:rFonts w:ascii="Times New Roman" w:eastAsia="Times New Roman" w:hAnsi="Times New Roman" w:cs="Times New Roman"/>
          <w:color w:val="0F1115"/>
          <w:sz w:val="24"/>
          <w:szCs w:val="24"/>
          <w:lang w:eastAsia="ru-RU"/>
        </w:rPr>
        <w:t>за</w:t>
      </w:r>
      <w:r w:rsidR="00CC3C7F">
        <w:rPr>
          <w:rFonts w:ascii="Times New Roman" w:eastAsia="Times New Roman" w:hAnsi="Times New Roman" w:cs="Times New Roman"/>
          <w:color w:val="0F1115"/>
          <w:sz w:val="24"/>
          <w:szCs w:val="24"/>
          <w:lang w:eastAsia="ru-RU"/>
        </w:rPr>
        <w:t xml:space="preserve"> </w:t>
      </w:r>
      <w:r w:rsidR="00282C26">
        <w:rPr>
          <w:rFonts w:ascii="Times New Roman" w:eastAsia="Times New Roman" w:hAnsi="Times New Roman" w:cs="Times New Roman"/>
          <w:color w:val="0F1115"/>
          <w:sz w:val="24"/>
          <w:szCs w:val="24"/>
          <w:lang w:eastAsia="ru-RU"/>
        </w:rPr>
        <w:t>определенный</w:t>
      </w:r>
      <w:r w:rsidR="00CC3C7F">
        <w:rPr>
          <w:rFonts w:ascii="Times New Roman" w:eastAsia="Times New Roman" w:hAnsi="Times New Roman" w:cs="Times New Roman"/>
          <w:color w:val="0F1115"/>
          <w:sz w:val="24"/>
          <w:szCs w:val="24"/>
          <w:lang w:eastAsia="ru-RU"/>
        </w:rPr>
        <w:t xml:space="preserve"> </w:t>
      </w:r>
      <w:r w:rsidR="00282C26">
        <w:rPr>
          <w:rFonts w:ascii="Times New Roman" w:eastAsia="Times New Roman" w:hAnsi="Times New Roman" w:cs="Times New Roman"/>
          <w:color w:val="0F1115"/>
          <w:sz w:val="24"/>
          <w:szCs w:val="24"/>
          <w:lang w:eastAsia="ru-RU"/>
        </w:rPr>
        <w:t>период</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позволяет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выделить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четыре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типа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ситуаций:</w:t>
      </w:r>
    </w:p>
    <w:p w14:paraId="0FD31479" w14:textId="5CA2CE96" w:rsidR="00BD431D" w:rsidRPr="00BD431D" w:rsidRDefault="00BD431D" w:rsidP="00BD431D">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p>
    <w:p w14:paraId="2FC51F0E" w14:textId="5F4FF5A2" w:rsidR="00BD431D" w:rsidRPr="00BD431D" w:rsidRDefault="00BD431D" w:rsidP="00BD431D">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(издержек)</w:t>
      </w:r>
      <w:r w:rsidR="004E0C39">
        <w:rPr>
          <w:rStyle w:val="a7"/>
          <w:rFonts w:ascii="Times New Roman" w:eastAsia="Times New Roman" w:hAnsi="Times New Roman" w:cs="Times New Roman"/>
          <w:b/>
          <w:bCs/>
          <w:color w:val="0F1115"/>
          <w:sz w:val="24"/>
          <w:szCs w:val="24"/>
          <w:lang w:eastAsia="ru-RU"/>
        </w:rPr>
        <w:footnoteReference w:id="3"/>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p>
    <w:p w14:paraId="38451F4C" w14:textId="45B5BC4B" w:rsidR="00BD431D" w:rsidRPr="00BD431D" w:rsidRDefault="00BD431D" w:rsidP="00BD431D">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Дефляция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кризисный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p>
    <w:p w14:paraId="4ECE7DD3" w14:textId="25786562" w:rsidR="00BD431D" w:rsidRPr="00BD431D" w:rsidRDefault="00BD431D" w:rsidP="00BD431D">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Рост</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(технологический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успех)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p>
    <w:p w14:paraId="62BDF1F9" w14:textId="7A76CCA4"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Анализ</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проведён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двум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направлениям:</w:t>
      </w:r>
    </w:p>
    <w:p w14:paraId="2BF8D3FF" w14:textId="164D5C4A" w:rsidR="00BD431D" w:rsidRPr="00BD431D" w:rsidRDefault="00BD431D" w:rsidP="00BD431D">
      <w:pPr>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Промышленность: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сопоставление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индексов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производителей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(ноябрь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декабрю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индексов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(январь–ноябрь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январю–ноябрю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Проанализировано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более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позиций.</w:t>
      </w:r>
    </w:p>
    <w:p w14:paraId="03E99EC1" w14:textId="7912D8C8" w:rsidR="00BD431D" w:rsidRPr="00BD431D" w:rsidRDefault="00BD431D" w:rsidP="00BD431D">
      <w:pPr>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lastRenderedPageBreak/>
        <w:t>Потребительский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рынок: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сопоставление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индексов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(ноябрь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декабрю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динамики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(январь–ноябрь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январю–ноябрю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Проанализировано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37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групп.</w:t>
      </w:r>
    </w:p>
    <w:p w14:paraId="140C2DBF" w14:textId="4524282F" w:rsidR="00BD431D" w:rsidRPr="00BD431D" w:rsidRDefault="00BD431D" w:rsidP="00BD431D">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BD431D">
        <w:rPr>
          <w:rFonts w:ascii="Times New Roman" w:eastAsia="Times New Roman" w:hAnsi="Times New Roman" w:cs="Times New Roman"/>
          <w:b/>
          <w:bCs/>
          <w:color w:val="0F1115"/>
          <w:sz w:val="24"/>
          <w:szCs w:val="24"/>
          <w:lang w:eastAsia="ru-RU"/>
        </w:rPr>
        <w:t>2.</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Результаты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анализа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промышленности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(цены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производителей)</w:t>
      </w:r>
    </w:p>
    <w:p w14:paraId="3243BE12" w14:textId="79561ED1"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Анализ</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показывает,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носит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преимущественно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структурный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характер</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издержек.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Примерно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45–50%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рассмотренных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демонстрируют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инфляцию</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сопровождается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падением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классическая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картина,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когда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производители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вынуждены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повышать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из-за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удорожания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сырья,</w:t>
      </w:r>
      <w:r w:rsidR="009B42C6">
        <w:rPr>
          <w:rFonts w:ascii="Times New Roman" w:eastAsia="Times New Roman" w:hAnsi="Times New Roman" w:cs="Times New Roman"/>
          <w:color w:val="0F1115"/>
          <w:sz w:val="24"/>
          <w:szCs w:val="24"/>
          <w:lang w:eastAsia="ru-RU"/>
        </w:rPr>
        <w:t xml:space="preserve"> топлива,</w:t>
      </w:r>
      <w:r w:rsidR="00CC3C7F">
        <w:rPr>
          <w:rFonts w:ascii="Times New Roman" w:eastAsia="Times New Roman" w:hAnsi="Times New Roman" w:cs="Times New Roman"/>
          <w:color w:val="0F1115"/>
          <w:sz w:val="24"/>
          <w:szCs w:val="24"/>
          <w:lang w:eastAsia="ru-RU"/>
        </w:rPr>
        <w:t xml:space="preserve"> </w:t>
      </w:r>
      <w:r w:rsidR="009B42C6">
        <w:rPr>
          <w:rFonts w:ascii="Times New Roman" w:eastAsia="Times New Roman" w:hAnsi="Times New Roman" w:cs="Times New Roman"/>
          <w:color w:val="0F1115"/>
          <w:sz w:val="24"/>
          <w:szCs w:val="24"/>
          <w:lang w:eastAsia="ru-RU"/>
        </w:rPr>
        <w:t xml:space="preserve">кредитов, тарифов, </w:t>
      </w:r>
      <w:r w:rsidRPr="00BD431D">
        <w:rPr>
          <w:rFonts w:ascii="Times New Roman" w:eastAsia="Times New Roman" w:hAnsi="Times New Roman" w:cs="Times New Roman"/>
          <w:color w:val="0F1115"/>
          <w:sz w:val="24"/>
          <w:szCs w:val="24"/>
          <w:lang w:eastAsia="ru-RU"/>
        </w:rPr>
        <w:t>логистики,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энергии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труда,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009B42C6">
        <w:rPr>
          <w:rFonts w:ascii="Times New Roman" w:eastAsia="Times New Roman" w:hAnsi="Times New Roman" w:cs="Times New Roman"/>
          <w:color w:val="0F1115"/>
          <w:sz w:val="24"/>
          <w:szCs w:val="24"/>
          <w:lang w:eastAsia="ru-RU"/>
        </w:rPr>
        <w:t>это не сопровождается ростом спроса ввиду охлаждения экономики, высоких процентных ставок, сберегательного поведения населения или компаний</w:t>
      </w:r>
      <w:r w:rsidRPr="00BD431D">
        <w:rPr>
          <w:rFonts w:ascii="Times New Roman" w:eastAsia="Times New Roman" w:hAnsi="Times New Roman" w:cs="Times New Roman"/>
          <w:color w:val="0F1115"/>
          <w:sz w:val="24"/>
          <w:szCs w:val="24"/>
          <w:lang w:eastAsia="ru-RU"/>
        </w:rPr>
        <w:t>.</w:t>
      </w:r>
    </w:p>
    <w:p w14:paraId="6BDF8F87" w14:textId="1FFE803A"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Наиболее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уязвимые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сектора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здесь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пищевая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(колбасные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изделия: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+8,7%,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выпуск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–0,3%;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консервы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рыбные: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шоколад: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+9,6%,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машиностроение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(холодильники: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стиральные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машины: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автомобили: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–13…35%;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лифты: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+54%,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химическая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(сера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техническая: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+218%,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каустическая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сода: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стройматериалы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лёгкая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промышленность.</w:t>
      </w:r>
    </w:p>
    <w:p w14:paraId="7A9229D2" w14:textId="58E54F1E"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зафиксирована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случаев.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локализована,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ограничена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только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ОПК.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наблюдается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0E552A">
        <w:rPr>
          <w:rFonts w:ascii="Times New Roman" w:eastAsia="Times New Roman" w:hAnsi="Times New Roman" w:cs="Times New Roman"/>
          <w:color w:val="0F1115"/>
          <w:sz w:val="24"/>
          <w:szCs w:val="24"/>
          <w:lang w:eastAsia="ru-RU"/>
        </w:rPr>
        <w:t xml:space="preserve"> ряде видов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пищевой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(мясо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птицы,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молоко,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сыры),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фармацевтике,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химии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(кислота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серная,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удобрения),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металлургии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(золото,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кобальт)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гражданском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машиностроении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(медицинское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оборудование,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трансформаторы,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деревообрабатывающие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станки).</w:t>
      </w:r>
    </w:p>
    <w:p w14:paraId="49A86D71" w14:textId="3C526A3B" w:rsidR="00F51480"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Дефляция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охватывают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15–20%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сырьевые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экспортно-ориентированные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сектора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(уголь,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прокат,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алюминий,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титан),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глубоко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кризисные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подотрасли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вроде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льняных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тканей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–35%,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выпуск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–46%).</w:t>
      </w:r>
      <w:r w:rsidR="00CC3C7F">
        <w:rPr>
          <w:rFonts w:ascii="Times New Roman" w:eastAsia="Times New Roman" w:hAnsi="Times New Roman" w:cs="Times New Roman"/>
          <w:color w:val="0F1115"/>
          <w:sz w:val="24"/>
          <w:szCs w:val="24"/>
          <w:lang w:eastAsia="ru-RU"/>
        </w:rPr>
        <w:t xml:space="preserve"> </w:t>
      </w:r>
    </w:p>
    <w:p w14:paraId="545B6030" w14:textId="23A0A459" w:rsid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или</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успехи</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импортозамещения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растёт)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наблюдается</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так</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часто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например</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гербицидов,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костюмов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мужских,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цинка,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фольги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алюминиевой</w:t>
      </w:r>
      <w:r w:rsidR="00761710">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является</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модельным</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примером</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борьбы</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со</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структурной</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инфляцией</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через</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00761710">
        <w:rPr>
          <w:rFonts w:ascii="Times New Roman" w:eastAsia="Times New Roman" w:hAnsi="Times New Roman" w:cs="Times New Roman"/>
          <w:color w:val="0F1115"/>
          <w:sz w:val="24"/>
          <w:szCs w:val="24"/>
          <w:lang w:eastAsia="ru-RU"/>
        </w:rPr>
        <w:t>предложения</w:t>
      </w:r>
      <w:r w:rsidRPr="00BD431D">
        <w:rPr>
          <w:rFonts w:ascii="Times New Roman" w:eastAsia="Times New Roman" w:hAnsi="Times New Roman" w:cs="Times New Roman"/>
          <w:color w:val="0F1115"/>
          <w:sz w:val="24"/>
          <w:szCs w:val="24"/>
          <w:lang w:eastAsia="ru-RU"/>
        </w:rPr>
        <w:t>.</w:t>
      </w:r>
    </w:p>
    <w:p w14:paraId="75E06FBC" w14:textId="1EBD4A05" w:rsidR="00282C26" w:rsidRDefault="00282C26"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bookmarkStart w:id="0" w:name="_Hlk223980404"/>
      <w:r>
        <w:rPr>
          <w:rFonts w:ascii="Times New Roman" w:eastAsia="Times New Roman" w:hAnsi="Times New Roman" w:cs="Times New Roman"/>
          <w:color w:val="0F1115"/>
          <w:sz w:val="24"/>
          <w:szCs w:val="24"/>
          <w:lang w:eastAsia="ru-RU"/>
        </w:rPr>
        <w:t>График</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1.</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Комбинация</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динамики</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промышленных</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объем</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производства.</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Январь-ноябрь</w:t>
      </w:r>
      <w:r w:rsidR="00CC3C7F">
        <w:rPr>
          <w:rFonts w:ascii="Times New Roman" w:eastAsia="Times New Roman" w:hAnsi="Times New Roman" w:cs="Times New Roman"/>
          <w:color w:val="0F1115"/>
          <w:sz w:val="24"/>
          <w:szCs w:val="24"/>
          <w:lang w:eastAsia="ru-RU"/>
        </w:rPr>
        <w:t xml:space="preserve"> </w:t>
      </w:r>
      <w:r w:rsidR="00450EDE">
        <w:rPr>
          <w:rFonts w:ascii="Times New Roman" w:eastAsia="Times New Roman" w:hAnsi="Times New Roman" w:cs="Times New Roman"/>
          <w:color w:val="0F1115"/>
          <w:sz w:val="24"/>
          <w:szCs w:val="24"/>
          <w:lang w:eastAsia="ru-RU"/>
        </w:rPr>
        <w:t>2026.</w:t>
      </w:r>
    </w:p>
    <w:bookmarkEnd w:id="0"/>
    <w:p w14:paraId="09B2A118" w14:textId="5EA7CF89" w:rsidR="00282C26" w:rsidRDefault="00282C26" w:rsidP="00D42836">
      <w:pPr>
        <w:shd w:val="clear" w:color="auto" w:fill="FFFFFF"/>
        <w:tabs>
          <w:tab w:val="left" w:pos="6663"/>
        </w:tabs>
        <w:spacing w:before="240" w:after="240" w:line="240" w:lineRule="auto"/>
        <w:jc w:val="center"/>
        <w:rPr>
          <w:rFonts w:ascii="Times New Roman" w:eastAsia="Times New Roman" w:hAnsi="Times New Roman" w:cs="Times New Roman"/>
          <w:color w:val="0F1115"/>
          <w:sz w:val="24"/>
          <w:szCs w:val="24"/>
          <w:lang w:eastAsia="ru-RU"/>
        </w:rPr>
      </w:pPr>
      <w:r>
        <w:rPr>
          <w:rFonts w:ascii="Times New Roman" w:eastAsia="Times New Roman" w:hAnsi="Times New Roman" w:cs="Times New Roman"/>
          <w:noProof/>
          <w:color w:val="0F1115"/>
          <w:sz w:val="24"/>
          <w:szCs w:val="24"/>
          <w:lang w:eastAsia="ru-RU"/>
        </w:rPr>
        <w:lastRenderedPageBreak/>
        <w:drawing>
          <wp:inline distT="0" distB="0" distL="0" distR="0" wp14:anchorId="1F421ECC" wp14:editId="21E8BE51">
            <wp:extent cx="5455919" cy="30607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820" cy="3066254"/>
                    </a:xfrm>
                    <a:prstGeom prst="rect">
                      <a:avLst/>
                    </a:prstGeom>
                    <a:noFill/>
                  </pic:spPr>
                </pic:pic>
              </a:graphicData>
            </a:graphic>
          </wp:inline>
        </w:drawing>
      </w:r>
    </w:p>
    <w:p w14:paraId="78B8B115" w14:textId="77777777" w:rsidR="00282C26" w:rsidRPr="00BD431D" w:rsidRDefault="00282C26"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p>
    <w:p w14:paraId="3E82BEBD" w14:textId="08C778F7" w:rsidR="00BD431D" w:rsidRPr="00BD431D" w:rsidRDefault="00BD431D" w:rsidP="00BD431D">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BD431D">
        <w:rPr>
          <w:rFonts w:ascii="Times New Roman" w:eastAsia="Times New Roman" w:hAnsi="Times New Roman" w:cs="Times New Roman"/>
          <w:b/>
          <w:bCs/>
          <w:color w:val="0F1115"/>
          <w:sz w:val="24"/>
          <w:szCs w:val="24"/>
          <w:lang w:eastAsia="ru-RU"/>
        </w:rPr>
        <w:t>3.</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Результаты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анализа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потребительском</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рынке</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(ИПЦ)</w:t>
      </w:r>
    </w:p>
    <w:p w14:paraId="38DC3041" w14:textId="4BD7904A"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рынке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картина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далека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классической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модели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чисто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монетарной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инфляции.</w:t>
      </w:r>
    </w:p>
    <w:p w14:paraId="7233EE0D" w14:textId="2FE06D64"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здесь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составляет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рассмотренных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групп</w:t>
      </w:r>
      <w:r w:rsidR="00CC3C7F">
        <w:rPr>
          <w:rFonts w:ascii="Times New Roman" w:eastAsia="Times New Roman" w:hAnsi="Times New Roman" w:cs="Times New Roman"/>
          <w:color w:val="0F1115"/>
          <w:sz w:val="24"/>
          <w:szCs w:val="24"/>
          <w:lang w:eastAsia="ru-RU"/>
        </w:rPr>
        <w:t xml:space="preserve"> </w:t>
      </w:r>
      <w:r w:rsidR="006B1B9E">
        <w:rPr>
          <w:rFonts w:ascii="Times New Roman" w:eastAsia="Times New Roman" w:hAnsi="Times New Roman" w:cs="Times New Roman"/>
          <w:color w:val="0F1115"/>
          <w:sz w:val="24"/>
          <w:szCs w:val="24"/>
          <w:lang w:eastAsia="ru-RU"/>
        </w:rPr>
        <w:t>(то</w:t>
      </w:r>
      <w:r w:rsidR="00CC3C7F">
        <w:rPr>
          <w:rFonts w:ascii="Times New Roman" w:eastAsia="Times New Roman" w:hAnsi="Times New Roman" w:cs="Times New Roman"/>
          <w:color w:val="0F1115"/>
          <w:sz w:val="24"/>
          <w:szCs w:val="24"/>
          <w:lang w:eastAsia="ru-RU"/>
        </w:rPr>
        <w:t xml:space="preserve"> </w:t>
      </w:r>
      <w:r w:rsidR="006B1B9E">
        <w:rPr>
          <w:rFonts w:ascii="Times New Roman" w:eastAsia="Times New Roman" w:hAnsi="Times New Roman" w:cs="Times New Roman"/>
          <w:color w:val="0F1115"/>
          <w:sz w:val="24"/>
          <w:szCs w:val="24"/>
          <w:lang w:eastAsia="ru-RU"/>
        </w:rPr>
        <w:t>есть</w:t>
      </w:r>
      <w:r w:rsidR="00CC3C7F">
        <w:rPr>
          <w:rFonts w:ascii="Times New Roman" w:eastAsia="Times New Roman" w:hAnsi="Times New Roman" w:cs="Times New Roman"/>
          <w:color w:val="0F1115"/>
          <w:sz w:val="24"/>
          <w:szCs w:val="24"/>
          <w:lang w:eastAsia="ru-RU"/>
        </w:rPr>
        <w:t xml:space="preserve"> </w:t>
      </w:r>
      <w:r w:rsidR="006B1B9E">
        <w:rPr>
          <w:rFonts w:ascii="Times New Roman" w:eastAsia="Times New Roman" w:hAnsi="Times New Roman" w:cs="Times New Roman"/>
          <w:color w:val="0F1115"/>
          <w:sz w:val="24"/>
          <w:szCs w:val="24"/>
          <w:lang w:eastAsia="ru-RU"/>
        </w:rPr>
        <w:t>меньшинство)</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одновременно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006B1B9E">
        <w:rPr>
          <w:rFonts w:ascii="Times New Roman" w:eastAsia="Times New Roman" w:hAnsi="Times New Roman" w:cs="Times New Roman"/>
          <w:color w:val="0F1115"/>
          <w:sz w:val="24"/>
          <w:szCs w:val="24"/>
          <w:lang w:eastAsia="ru-RU"/>
        </w:rPr>
        <w:t>ряд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базовых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продуктов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питания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(мясо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птицы: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молоко: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сыры: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хлеб:</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lastRenderedPageBreak/>
        <w:t>макароны: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+12,2%,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+1,7%;</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кондитерские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изделия: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+8,8%),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одежду,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медицинские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лекарства</w:t>
      </w:r>
      <w:r w:rsidR="004756E1">
        <w:rPr>
          <w:rStyle w:val="a7"/>
          <w:rFonts w:ascii="Times New Roman" w:eastAsia="Times New Roman" w:hAnsi="Times New Roman" w:cs="Times New Roman"/>
          <w:color w:val="0F1115"/>
          <w:sz w:val="24"/>
          <w:szCs w:val="24"/>
          <w:lang w:eastAsia="ru-RU"/>
        </w:rPr>
        <w:footnoteReference w:id="4"/>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свидетельствует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сохранении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устойчивого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несмотря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6B1B9E">
        <w:rPr>
          <w:rStyle w:val="a7"/>
          <w:rFonts w:ascii="Times New Roman" w:eastAsia="Times New Roman" w:hAnsi="Times New Roman" w:cs="Times New Roman"/>
          <w:color w:val="0F1115"/>
          <w:sz w:val="24"/>
          <w:szCs w:val="24"/>
          <w:lang w:eastAsia="ru-RU"/>
        </w:rPr>
        <w:footnoteReference w:id="5"/>
      </w:r>
      <w:r w:rsidRPr="00BD431D">
        <w:rPr>
          <w:rFonts w:ascii="Times New Roman" w:eastAsia="Times New Roman" w:hAnsi="Times New Roman" w:cs="Times New Roman"/>
          <w:color w:val="0F1115"/>
          <w:sz w:val="24"/>
          <w:szCs w:val="24"/>
          <w:lang w:eastAsia="ru-RU"/>
        </w:rPr>
        <w:t>.</w:t>
      </w:r>
    </w:p>
    <w:p w14:paraId="4D404AA7" w14:textId="29B4F8C0"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падении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составляет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затрагивает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мясо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животных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+9,6%),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рыбу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морепродукты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мебель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строительные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материалы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Особо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выделяются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сухие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молочные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консервы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обвалом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(–31%)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фоне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умеренного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p>
    <w:p w14:paraId="367CD218" w14:textId="7F506D91"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Дефляция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охватывают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групп.</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почти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бытовая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техника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электроника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(телевизоры: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–10,2%;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холодильники: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–14,8%,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стиральные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машины: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–23,2%,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компьютеры,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мобильные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телефоны,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автомобили,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свежие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фрукты.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здесь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стимулирует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указывает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структурное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сжатие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категориях</w:t>
      </w:r>
      <w:r w:rsidR="004756E1">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004756E1">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002E3CAE">
        <w:rPr>
          <w:rFonts w:ascii="Times New Roman" w:eastAsia="Times New Roman" w:hAnsi="Times New Roman" w:cs="Times New Roman"/>
          <w:color w:val="0F1115"/>
          <w:sz w:val="24"/>
          <w:szCs w:val="24"/>
          <w:lang w:eastAsia="ru-RU"/>
        </w:rPr>
        <w:t>само снижение цен может быть вызвано к</w:t>
      </w:r>
      <w:r w:rsidR="004756E1">
        <w:rPr>
          <w:rFonts w:ascii="Times New Roman" w:eastAsia="Times New Roman" w:hAnsi="Times New Roman" w:cs="Times New Roman"/>
          <w:color w:val="0F1115"/>
          <w:sz w:val="24"/>
          <w:szCs w:val="24"/>
          <w:lang w:eastAsia="ru-RU"/>
        </w:rPr>
        <w:t>репк</w:t>
      </w:r>
      <w:r w:rsidR="002E3CAE">
        <w:rPr>
          <w:rFonts w:ascii="Times New Roman" w:eastAsia="Times New Roman" w:hAnsi="Times New Roman" w:cs="Times New Roman"/>
          <w:color w:val="0F1115"/>
          <w:sz w:val="24"/>
          <w:szCs w:val="24"/>
          <w:lang w:eastAsia="ru-RU"/>
        </w:rPr>
        <w:t>им</w:t>
      </w:r>
      <w:r w:rsidR="00CC3C7F">
        <w:rPr>
          <w:rFonts w:ascii="Times New Roman" w:eastAsia="Times New Roman" w:hAnsi="Times New Roman" w:cs="Times New Roman"/>
          <w:color w:val="0F1115"/>
          <w:sz w:val="24"/>
          <w:szCs w:val="24"/>
          <w:lang w:eastAsia="ru-RU"/>
        </w:rPr>
        <w:t xml:space="preserve"> </w:t>
      </w:r>
      <w:r w:rsidR="004756E1">
        <w:rPr>
          <w:rFonts w:ascii="Times New Roman" w:eastAsia="Times New Roman" w:hAnsi="Times New Roman" w:cs="Times New Roman"/>
          <w:color w:val="0F1115"/>
          <w:sz w:val="24"/>
          <w:szCs w:val="24"/>
          <w:lang w:eastAsia="ru-RU"/>
        </w:rPr>
        <w:t>курс</w:t>
      </w:r>
      <w:r w:rsidR="002E3CAE">
        <w:rPr>
          <w:rFonts w:ascii="Times New Roman" w:eastAsia="Times New Roman" w:hAnsi="Times New Roman" w:cs="Times New Roman"/>
          <w:color w:val="0F1115"/>
          <w:sz w:val="24"/>
          <w:szCs w:val="24"/>
          <w:lang w:eastAsia="ru-RU"/>
        </w:rPr>
        <w:t xml:space="preserve">ом </w:t>
      </w:r>
      <w:r w:rsidR="004756E1">
        <w:rPr>
          <w:rFonts w:ascii="Times New Roman" w:eastAsia="Times New Roman" w:hAnsi="Times New Roman" w:cs="Times New Roman"/>
          <w:color w:val="0F1115"/>
          <w:sz w:val="24"/>
          <w:szCs w:val="24"/>
          <w:lang w:eastAsia="ru-RU"/>
        </w:rPr>
        <w:t>рубля</w:t>
      </w:r>
      <w:r w:rsidRPr="00BD431D">
        <w:rPr>
          <w:rFonts w:ascii="Times New Roman" w:eastAsia="Times New Roman" w:hAnsi="Times New Roman" w:cs="Times New Roman"/>
          <w:color w:val="0F1115"/>
          <w:sz w:val="24"/>
          <w:szCs w:val="24"/>
          <w:lang w:eastAsia="ru-RU"/>
        </w:rPr>
        <w:t>.</w:t>
      </w:r>
    </w:p>
    <w:p w14:paraId="6D94ABFF" w14:textId="51A6C538" w:rsid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растут,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падают)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наблюдается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случаев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связан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преимущественно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продуктами,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где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сработали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факторы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урожая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импортозамещения: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яйца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(продажи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+8,2%,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сахар</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–4,3%),</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крупа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(+6,8%,</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–2,1%),</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свежий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картофель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–24,5%),</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свежие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овощи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(+5,9%,</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–17,6%),</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растительные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масла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–1,2%),</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обувь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(+7,4%,</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–1,2%).</w:t>
      </w:r>
    </w:p>
    <w:p w14:paraId="363D8D9E" w14:textId="02561E8A" w:rsidR="003F6F13" w:rsidRDefault="003F6F13" w:rsidP="003F6F13">
      <w:pPr>
        <w:shd w:val="clear" w:color="auto" w:fill="FFFFFF"/>
        <w:spacing w:before="240" w:after="240" w:line="240" w:lineRule="auto"/>
        <w:rPr>
          <w:rFonts w:ascii="Times New Roman" w:eastAsia="Times New Roman" w:hAnsi="Times New Roman" w:cs="Times New Roman"/>
          <w:color w:val="0F1115"/>
          <w:sz w:val="24"/>
          <w:szCs w:val="24"/>
          <w:lang w:eastAsia="ru-RU"/>
        </w:rPr>
      </w:pPr>
      <w:bookmarkStart w:id="1" w:name="_Hlk223980458"/>
      <w:r>
        <w:rPr>
          <w:rFonts w:ascii="Times New Roman" w:eastAsia="Times New Roman" w:hAnsi="Times New Roman" w:cs="Times New Roman"/>
          <w:color w:val="0F1115"/>
          <w:sz w:val="24"/>
          <w:szCs w:val="24"/>
          <w:lang w:eastAsia="ru-RU"/>
        </w:rPr>
        <w:t>График</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2.</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Комбинация</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динамики</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потребительских</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объемов</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продаж.</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Январь-ноябрь</w:t>
      </w:r>
      <w:r w:rsidR="00CC3C7F">
        <w:rPr>
          <w:rFonts w:ascii="Times New Roman" w:eastAsia="Times New Roman" w:hAnsi="Times New Roman" w:cs="Times New Roman"/>
          <w:color w:val="0F1115"/>
          <w:sz w:val="24"/>
          <w:szCs w:val="24"/>
          <w:lang w:eastAsia="ru-RU"/>
        </w:rPr>
        <w:t xml:space="preserve"> </w:t>
      </w:r>
      <w:r>
        <w:rPr>
          <w:rFonts w:ascii="Times New Roman" w:eastAsia="Times New Roman" w:hAnsi="Times New Roman" w:cs="Times New Roman"/>
          <w:color w:val="0F1115"/>
          <w:sz w:val="24"/>
          <w:szCs w:val="24"/>
          <w:lang w:eastAsia="ru-RU"/>
        </w:rPr>
        <w:t>2026.</w:t>
      </w:r>
    </w:p>
    <w:bookmarkEnd w:id="1"/>
    <w:p w14:paraId="6144609D" w14:textId="3B74DD8E" w:rsidR="003F6F13" w:rsidRPr="00BD431D" w:rsidRDefault="003F6F13" w:rsidP="003F6F13">
      <w:pPr>
        <w:shd w:val="clear" w:color="auto" w:fill="FFFFFF"/>
        <w:spacing w:before="240" w:after="240" w:line="240" w:lineRule="auto"/>
        <w:jc w:val="center"/>
        <w:rPr>
          <w:rFonts w:ascii="Times New Roman" w:eastAsia="Times New Roman" w:hAnsi="Times New Roman" w:cs="Times New Roman"/>
          <w:color w:val="0F1115"/>
          <w:sz w:val="24"/>
          <w:szCs w:val="24"/>
          <w:lang w:eastAsia="ru-RU"/>
        </w:rPr>
      </w:pPr>
      <w:r>
        <w:rPr>
          <w:rFonts w:ascii="Times New Roman" w:eastAsia="Times New Roman" w:hAnsi="Times New Roman" w:cs="Times New Roman"/>
          <w:noProof/>
          <w:color w:val="0F1115"/>
          <w:sz w:val="24"/>
          <w:szCs w:val="24"/>
          <w:lang w:eastAsia="ru-RU"/>
        </w:rPr>
        <w:lastRenderedPageBreak/>
        <w:drawing>
          <wp:inline distT="0" distB="0" distL="0" distR="0" wp14:anchorId="58E98F63" wp14:editId="0CC2A2B5">
            <wp:extent cx="4826000" cy="2623995"/>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1696" cy="2659715"/>
                    </a:xfrm>
                    <a:prstGeom prst="rect">
                      <a:avLst/>
                    </a:prstGeom>
                    <a:noFill/>
                  </pic:spPr>
                </pic:pic>
              </a:graphicData>
            </a:graphic>
          </wp:inline>
        </w:drawing>
      </w:r>
    </w:p>
    <w:p w14:paraId="75B9C263" w14:textId="28D2AEDB" w:rsidR="00BD431D" w:rsidRPr="00BD431D" w:rsidRDefault="00BD431D" w:rsidP="00BD431D">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BD431D">
        <w:rPr>
          <w:rFonts w:ascii="Times New Roman" w:eastAsia="Times New Roman" w:hAnsi="Times New Roman" w:cs="Times New Roman"/>
          <w:b/>
          <w:bCs/>
          <w:color w:val="0F1115"/>
          <w:sz w:val="24"/>
          <w:szCs w:val="24"/>
          <w:lang w:eastAsia="ru-RU"/>
        </w:rPr>
        <w:t>4.</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Сравнительный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анализ</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общий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характер</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инфляции</w:t>
      </w:r>
    </w:p>
    <w:p w14:paraId="72634586" w14:textId="7BDBAAD3"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Сопоставление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двух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срезов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(производство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потребление)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позволяет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сделать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следующие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выводы:</w:t>
      </w:r>
    </w:p>
    <w:p w14:paraId="656F25BB" w14:textId="72B3D798" w:rsidR="00BD431D" w:rsidRPr="00BD431D" w:rsidRDefault="00BD431D" w:rsidP="00BD431D">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преобладает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(45–50%)</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означает,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что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основная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проблема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издержек,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который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производители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вынуждены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перекладывать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выпуск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этом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растёт,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здесь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составляет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лишь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20–25%.</w:t>
      </w:r>
    </w:p>
    <w:p w14:paraId="7407611B" w14:textId="5D89FA17" w:rsidR="00BD431D" w:rsidRPr="00BD431D" w:rsidRDefault="00BD431D" w:rsidP="00BD431D">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потребительском</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рынке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ситуация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смешанная: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спроса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(40%)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соседствует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значительной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долей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(22%)</w:t>
      </w:r>
      <w:r w:rsidR="00EA22C6">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дефляции/спада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(24%)</w:t>
      </w:r>
      <w:r w:rsidR="00EA22C6">
        <w:rPr>
          <w:rFonts w:ascii="Times New Roman" w:eastAsia="Times New Roman" w:hAnsi="Times New Roman" w:cs="Times New Roman"/>
          <w:b/>
          <w:bCs/>
          <w:color w:val="0F1115"/>
          <w:sz w:val="24"/>
          <w:szCs w:val="24"/>
          <w:lang w:eastAsia="ru-RU"/>
        </w:rPr>
        <w:t>,</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роста</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технологического</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успеха</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(10-14</w:t>
      </w:r>
      <w:r w:rsidR="00CC3C7F">
        <w:rPr>
          <w:rFonts w:ascii="Times New Roman" w:eastAsia="Times New Roman" w:hAnsi="Times New Roman" w:cs="Times New Roman"/>
          <w:b/>
          <w:bCs/>
          <w:color w:val="0F1115"/>
          <w:sz w:val="24"/>
          <w:szCs w:val="24"/>
          <w:lang w:eastAsia="ru-RU"/>
        </w:rPr>
        <w:t xml:space="preserve"> </w:t>
      </w:r>
      <w:r w:rsidR="00EA22C6">
        <w:rPr>
          <w:rFonts w:ascii="Times New Roman" w:eastAsia="Times New Roman" w:hAnsi="Times New Roman" w:cs="Times New Roman"/>
          <w:b/>
          <w:bCs/>
          <w:color w:val="0F1115"/>
          <w:sz w:val="24"/>
          <w:szCs w:val="24"/>
          <w:lang w:eastAsia="ru-RU"/>
        </w:rPr>
        <w:t>%)</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остаётся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высоким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базовые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длительного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пользования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технику,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несмотря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снижение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p>
    <w:p w14:paraId="5FE5527F" w14:textId="4CB5F8D1" w:rsidR="00BD431D" w:rsidRPr="00BD431D" w:rsidRDefault="00BD431D" w:rsidP="00BD431D">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Ключевой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вывод:</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российской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экономике</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за</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январь-ноябрь</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2025</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не</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является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преимущественно</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монетарной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(инфляцией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спроса).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Суммарная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доля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ситуаций,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где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сопровождается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объёмов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дефляция/спад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падением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составляет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75–80%,</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рынке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около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60%.</w:t>
      </w:r>
    </w:p>
    <w:p w14:paraId="7C8450C9" w14:textId="7FEC7B4A" w:rsidR="00BD431D" w:rsidRPr="00BD431D" w:rsidRDefault="00BD431D" w:rsidP="00BD431D">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BD431D">
        <w:rPr>
          <w:rFonts w:ascii="Times New Roman" w:eastAsia="Times New Roman" w:hAnsi="Times New Roman" w:cs="Times New Roman"/>
          <w:b/>
          <w:bCs/>
          <w:color w:val="0F1115"/>
          <w:sz w:val="24"/>
          <w:szCs w:val="24"/>
          <w:lang w:eastAsia="ru-RU"/>
        </w:rPr>
        <w:lastRenderedPageBreak/>
        <w:t>5.</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Выводы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рекомендации</w:t>
      </w:r>
    </w:p>
    <w:p w14:paraId="7B1C1DFC" w14:textId="6AA3E6D2" w:rsidR="00BD431D" w:rsidRPr="00BD431D" w:rsidRDefault="00BD431D" w:rsidP="00BD431D">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экономике</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РФ</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на</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текущий</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момент</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носит</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преимущественно</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структурный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характер</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издержек</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доминирует,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рынке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также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занимает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значительную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долю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наряду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дефляционными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процессами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отдельных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сегментах.</w:t>
      </w:r>
    </w:p>
    <w:p w14:paraId="00B74D34" w14:textId="2028B26D" w:rsidR="00BD431D" w:rsidRPr="00BD431D" w:rsidRDefault="00BD431D" w:rsidP="00BD431D">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Инфляция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спроса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локализована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не</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является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всеобщей.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промышленности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связана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госзаказом,</w:t>
      </w:r>
      <w:r w:rsidR="00CC3C7F">
        <w:rPr>
          <w:rFonts w:ascii="Times New Roman" w:eastAsia="Times New Roman" w:hAnsi="Times New Roman" w:cs="Times New Roman"/>
          <w:color w:val="0F1115"/>
          <w:sz w:val="24"/>
          <w:szCs w:val="24"/>
          <w:lang w:eastAsia="ru-RU"/>
        </w:rPr>
        <w:t xml:space="preserve"> </w:t>
      </w:r>
      <w:r w:rsidR="006E1E53">
        <w:rPr>
          <w:rFonts w:ascii="Times New Roman" w:eastAsia="Times New Roman" w:hAnsi="Times New Roman" w:cs="Times New Roman"/>
          <w:color w:val="0F1115"/>
          <w:sz w:val="24"/>
          <w:szCs w:val="24"/>
          <w:lang w:eastAsia="ru-RU"/>
        </w:rPr>
        <w:t xml:space="preserve">в ряде случаев </w:t>
      </w:r>
      <w:r w:rsidRPr="00BD431D">
        <w:rPr>
          <w:rFonts w:ascii="Times New Roman" w:eastAsia="Times New Roman" w:hAnsi="Times New Roman" w:cs="Times New Roman"/>
          <w:color w:val="0F1115"/>
          <w:sz w:val="24"/>
          <w:szCs w:val="24"/>
          <w:lang w:eastAsia="ru-RU"/>
        </w:rPr>
        <w:t>экспортом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импортозамещением,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потребительском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рынке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006E1E53">
        <w:rPr>
          <w:rFonts w:ascii="Times New Roman" w:eastAsia="Times New Roman" w:hAnsi="Times New Roman" w:cs="Times New Roman"/>
          <w:color w:val="0F1115"/>
          <w:sz w:val="24"/>
          <w:szCs w:val="24"/>
          <w:lang w:eastAsia="ru-RU"/>
        </w:rPr>
        <w:t xml:space="preserve">рядом </w:t>
      </w:r>
      <w:r w:rsidRPr="00BD431D">
        <w:rPr>
          <w:rFonts w:ascii="Times New Roman" w:eastAsia="Times New Roman" w:hAnsi="Times New Roman" w:cs="Times New Roman"/>
          <w:color w:val="0F1115"/>
          <w:sz w:val="24"/>
          <w:szCs w:val="24"/>
          <w:lang w:eastAsia="ru-RU"/>
        </w:rPr>
        <w:t>базовы</w:t>
      </w:r>
      <w:r w:rsidR="006E1E53">
        <w:rPr>
          <w:rFonts w:ascii="Times New Roman" w:eastAsia="Times New Roman" w:hAnsi="Times New Roman" w:cs="Times New Roman"/>
          <w:color w:val="0F1115"/>
          <w:sz w:val="24"/>
          <w:szCs w:val="24"/>
          <w:lang w:eastAsia="ru-RU"/>
        </w:rPr>
        <w:t>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продукт</w:t>
      </w:r>
      <w:r w:rsidR="006E1E53">
        <w:rPr>
          <w:rFonts w:ascii="Times New Roman" w:eastAsia="Times New Roman" w:hAnsi="Times New Roman" w:cs="Times New Roman"/>
          <w:color w:val="0F1115"/>
          <w:sz w:val="24"/>
          <w:szCs w:val="24"/>
          <w:lang w:eastAsia="ru-RU"/>
        </w:rPr>
        <w:t>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питания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товар</w:t>
      </w:r>
      <w:r w:rsidR="006E1E53">
        <w:rPr>
          <w:rFonts w:ascii="Times New Roman" w:eastAsia="Times New Roman" w:hAnsi="Times New Roman" w:cs="Times New Roman"/>
          <w:color w:val="0F1115"/>
          <w:sz w:val="24"/>
          <w:szCs w:val="24"/>
          <w:lang w:eastAsia="ru-RU"/>
        </w:rPr>
        <w:t>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первой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необходимости.</w:t>
      </w:r>
    </w:p>
    <w:p w14:paraId="131972B9" w14:textId="5D1BED81" w:rsidR="00BD431D" w:rsidRPr="00BD431D" w:rsidRDefault="00BD431D" w:rsidP="00BD431D">
      <w:pPr>
        <w:numPr>
          <w:ilvl w:val="0"/>
          <w:numId w:val="4"/>
        </w:numPr>
        <w:shd w:val="clear" w:color="auto" w:fill="FFFFFF"/>
        <w:spacing w:before="100" w:beforeAutospacing="1" w:after="12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Меры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жёсткой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денежно-кредитной</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политики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w:t>
      </w:r>
      <w:r w:rsidR="006E1E53">
        <w:rPr>
          <w:rFonts w:ascii="Times New Roman" w:eastAsia="Times New Roman" w:hAnsi="Times New Roman" w:cs="Times New Roman"/>
          <w:b/>
          <w:bCs/>
          <w:color w:val="0F1115"/>
          <w:sz w:val="24"/>
          <w:szCs w:val="24"/>
          <w:lang w:eastAsia="ru-RU"/>
        </w:rPr>
        <w:t>высокая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ключев</w:t>
      </w:r>
      <w:r w:rsidR="006E1E53">
        <w:rPr>
          <w:rFonts w:ascii="Times New Roman" w:eastAsia="Times New Roman" w:hAnsi="Times New Roman" w:cs="Times New Roman"/>
          <w:b/>
          <w:bCs/>
          <w:color w:val="0F1115"/>
          <w:sz w:val="24"/>
          <w:szCs w:val="24"/>
          <w:lang w:eastAsia="ru-RU"/>
        </w:rPr>
        <w:t>ая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ставк</w:t>
      </w:r>
      <w:r w:rsidR="006E1E53">
        <w:rPr>
          <w:rFonts w:ascii="Times New Roman" w:eastAsia="Times New Roman" w:hAnsi="Times New Roman" w:cs="Times New Roman"/>
          <w:b/>
          <w:bCs/>
          <w:color w:val="0F1115"/>
          <w:sz w:val="24"/>
          <w:szCs w:val="24"/>
          <w:lang w:eastAsia="ru-RU"/>
        </w:rPr>
        <w:t>а</w:t>
      </w:r>
      <w:r w:rsidRPr="00BD431D">
        <w:rPr>
          <w:rFonts w:ascii="Times New Roman" w:eastAsia="Times New Roman" w:hAnsi="Times New Roman" w:cs="Times New Roman"/>
          <w:b/>
          <w:bCs/>
          <w:color w:val="0F1115"/>
          <w:sz w:val="24"/>
          <w:szCs w:val="24"/>
          <w:lang w:eastAsia="ru-RU"/>
        </w:rPr>
        <w:t>)</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в</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текущих</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условиях</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не</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могут</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быть</w:t>
      </w:r>
      <w:r w:rsidR="00CC3C7F">
        <w:rPr>
          <w:rFonts w:ascii="Times New Roman" w:eastAsia="Times New Roman" w:hAnsi="Times New Roman" w:cs="Times New Roman"/>
          <w:b/>
          <w:bCs/>
          <w:color w:val="0F1115"/>
          <w:sz w:val="24"/>
          <w:szCs w:val="24"/>
          <w:lang w:eastAsia="ru-RU"/>
        </w:rPr>
        <w:t xml:space="preserve"> </w:t>
      </w:r>
      <w:r w:rsidR="004E0C39">
        <w:rPr>
          <w:rFonts w:ascii="Times New Roman" w:eastAsia="Times New Roman" w:hAnsi="Times New Roman" w:cs="Times New Roman"/>
          <w:b/>
          <w:bCs/>
          <w:color w:val="0F1115"/>
          <w:sz w:val="24"/>
          <w:szCs w:val="24"/>
          <w:lang w:eastAsia="ru-RU"/>
        </w:rPr>
        <w:t>высокоэффективны</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для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сдерживания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инфляции</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и</w:t>
      </w:r>
      <w:r w:rsidR="00CC3C7F">
        <w:rPr>
          <w:rFonts w:ascii="Times New Roman" w:eastAsia="Times New Roman" w:hAnsi="Times New Roman" w:cs="Times New Roman"/>
          <w:b/>
          <w:bCs/>
          <w:color w:val="0F1115"/>
          <w:sz w:val="24"/>
          <w:szCs w:val="24"/>
          <w:lang w:eastAsia="ru-RU"/>
        </w:rPr>
        <w:t xml:space="preserve"> </w:t>
      </w:r>
      <w:r w:rsidR="006E1E53">
        <w:rPr>
          <w:rFonts w:ascii="Times New Roman" w:eastAsia="Times New Roman" w:hAnsi="Times New Roman" w:cs="Times New Roman"/>
          <w:b/>
          <w:bCs/>
          <w:color w:val="0F1115"/>
          <w:sz w:val="24"/>
          <w:szCs w:val="24"/>
          <w:lang w:eastAsia="ru-RU"/>
        </w:rPr>
        <w:t xml:space="preserve">скорее </w:t>
      </w:r>
      <w:r w:rsidRPr="00BD431D">
        <w:rPr>
          <w:rFonts w:ascii="Times New Roman" w:eastAsia="Times New Roman" w:hAnsi="Times New Roman" w:cs="Times New Roman"/>
          <w:b/>
          <w:bCs/>
          <w:color w:val="0F1115"/>
          <w:sz w:val="24"/>
          <w:szCs w:val="24"/>
          <w:lang w:eastAsia="ru-RU"/>
        </w:rPr>
        <w:t>могут</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усугубить</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спад.</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Поскольку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основная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проблема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издержек,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004E0C39">
        <w:rPr>
          <w:rFonts w:ascii="Times New Roman" w:eastAsia="Times New Roman" w:hAnsi="Times New Roman" w:cs="Times New Roman"/>
          <w:color w:val="0F1115"/>
          <w:sz w:val="24"/>
          <w:szCs w:val="24"/>
          <w:lang w:eastAsia="ru-RU"/>
        </w:rPr>
        <w:t>избыточный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повышение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ставки:</w:t>
      </w:r>
    </w:p>
    <w:p w14:paraId="5252EAD7" w14:textId="16F00544"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снижает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затраты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производителей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сырьё,</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логистику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импортные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компоненты;</w:t>
      </w:r>
    </w:p>
    <w:p w14:paraId="520811F5" w14:textId="4206FFF4"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увеличивает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стоимость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кредитных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ресурсов,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затрудняя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инвестиции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оборотный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капитал;</w:t>
      </w:r>
    </w:p>
    <w:p w14:paraId="1AA5D00E" w14:textId="5D91B1D5"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дополнительно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сжимает</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секторах,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уже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находящихся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зоне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дефляции/спада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(техника,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автомобили,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мебель),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усугубляя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кризис.</w:t>
      </w:r>
    </w:p>
    <w:p w14:paraId="662B59B6" w14:textId="57A21A85" w:rsidR="00BD431D" w:rsidRPr="00BD431D" w:rsidRDefault="00BD431D" w:rsidP="00BD431D">
      <w:pPr>
        <w:numPr>
          <w:ilvl w:val="0"/>
          <w:numId w:val="4"/>
        </w:numPr>
        <w:shd w:val="clear" w:color="auto" w:fill="FFFFFF"/>
        <w:spacing w:before="100" w:beforeAutospacing="1" w:after="12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b/>
          <w:bCs/>
          <w:color w:val="0F1115"/>
          <w:sz w:val="24"/>
          <w:szCs w:val="24"/>
          <w:lang w:eastAsia="ru-RU"/>
        </w:rPr>
        <w:t>Приоритетом</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должна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стать</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структурная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политика,</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направленная</w:t>
      </w:r>
      <w:r w:rsidR="00CC3C7F">
        <w:rPr>
          <w:rFonts w:ascii="Times New Roman" w:eastAsia="Times New Roman" w:hAnsi="Times New Roman" w:cs="Times New Roman"/>
          <w:b/>
          <w:bCs/>
          <w:color w:val="0F1115"/>
          <w:sz w:val="24"/>
          <w:szCs w:val="24"/>
          <w:lang w:eastAsia="ru-RU"/>
        </w:rPr>
        <w:t xml:space="preserve"> </w:t>
      </w:r>
      <w:r w:rsidRPr="00BD431D">
        <w:rPr>
          <w:rFonts w:ascii="Times New Roman" w:eastAsia="Times New Roman" w:hAnsi="Times New Roman" w:cs="Times New Roman"/>
          <w:b/>
          <w:bCs/>
          <w:color w:val="0F1115"/>
          <w:sz w:val="24"/>
          <w:szCs w:val="24"/>
          <w:lang w:eastAsia="ru-RU"/>
        </w:rPr>
        <w:t>на:</w:t>
      </w:r>
    </w:p>
    <w:p w14:paraId="281D96E7" w14:textId="2B74251C"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снижение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логистических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энергетических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издержек</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производителей;</w:t>
      </w:r>
    </w:p>
    <w:p w14:paraId="1232D218" w14:textId="7BE2EA98"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развитие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собственной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компонентной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базы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углубление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импортозамещения;</w:t>
      </w:r>
    </w:p>
    <w:p w14:paraId="42B2A2B5" w14:textId="11799B79"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поддержку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инвестиций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расширение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мощностей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секторах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инфляцией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спроса;</w:t>
      </w:r>
    </w:p>
    <w:p w14:paraId="5A18D83D" w14:textId="08FFE4BD" w:rsidR="00BD431D" w:rsidRP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адресную</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помощь</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отраслям,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находящимся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в</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кризисном</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спаде;</w:t>
      </w:r>
    </w:p>
    <w:p w14:paraId="062C77E0" w14:textId="3218036C" w:rsidR="00BD431D" w:rsidRDefault="00BD431D"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BD431D">
        <w:rPr>
          <w:rFonts w:ascii="Times New Roman" w:eastAsia="Times New Roman" w:hAnsi="Times New Roman" w:cs="Times New Roman"/>
          <w:color w:val="0F1115"/>
          <w:sz w:val="24"/>
          <w:szCs w:val="24"/>
          <w:lang w:eastAsia="ru-RU"/>
        </w:rPr>
        <w:t>поддержку</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позитивных</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тенденций</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роста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предложения</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снижении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цен</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(овощи,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яйца,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отдельные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промтовары)</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через</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стимулирование</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сельского</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хозяйства</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и</w:t>
      </w:r>
      <w:r w:rsidR="00CC3C7F">
        <w:rPr>
          <w:rFonts w:ascii="Times New Roman" w:eastAsia="Times New Roman" w:hAnsi="Times New Roman" w:cs="Times New Roman"/>
          <w:color w:val="0F1115"/>
          <w:sz w:val="24"/>
          <w:szCs w:val="24"/>
          <w:lang w:eastAsia="ru-RU"/>
        </w:rPr>
        <w:t xml:space="preserve"> </w:t>
      </w:r>
      <w:r w:rsidRPr="00BD431D">
        <w:rPr>
          <w:rFonts w:ascii="Times New Roman" w:eastAsia="Times New Roman" w:hAnsi="Times New Roman" w:cs="Times New Roman"/>
          <w:color w:val="0F1115"/>
          <w:sz w:val="24"/>
          <w:szCs w:val="24"/>
          <w:lang w:eastAsia="ru-RU"/>
        </w:rPr>
        <w:t>переработки</w:t>
      </w:r>
      <w:r w:rsidR="0007198E">
        <w:rPr>
          <w:rFonts w:ascii="Times New Roman" w:eastAsia="Times New Roman" w:hAnsi="Times New Roman" w:cs="Times New Roman"/>
          <w:color w:val="0F1115"/>
          <w:sz w:val="24"/>
          <w:szCs w:val="24"/>
          <w:lang w:eastAsia="ru-RU"/>
        </w:rPr>
        <w:t>;</w:t>
      </w:r>
    </w:p>
    <w:p w14:paraId="5E4818BB" w14:textId="1187F3D4" w:rsidR="0007198E" w:rsidRPr="00BD431D" w:rsidRDefault="0007198E" w:rsidP="00BD431D">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постепенное снижение ключевой ставки.</w:t>
      </w:r>
    </w:p>
    <w:p w14:paraId="2B3D0E2A" w14:textId="074A9797" w:rsidR="00C51689" w:rsidRPr="00BD431D" w:rsidRDefault="00BD431D" w:rsidP="001A096B">
      <w:pPr>
        <w:shd w:val="clear" w:color="auto" w:fill="FFFFFF"/>
        <w:spacing w:before="240" w:after="100" w:afterAutospacing="1" w:line="240" w:lineRule="auto"/>
        <w:rPr>
          <w:rFonts w:ascii="Times New Roman" w:hAnsi="Times New Roman" w:cs="Times New Roman"/>
          <w:sz w:val="24"/>
          <w:szCs w:val="24"/>
        </w:rPr>
      </w:pPr>
      <w:r w:rsidRPr="00BD431D">
        <w:rPr>
          <w:rFonts w:ascii="Times New Roman" w:eastAsia="Times New Roman" w:hAnsi="Times New Roman" w:cs="Times New Roman"/>
          <w:i/>
          <w:iCs/>
          <w:color w:val="0F1115"/>
          <w:sz w:val="24"/>
          <w:szCs w:val="24"/>
          <w:lang w:eastAsia="ru-RU"/>
        </w:rPr>
        <w:t>Аналитическая</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записка</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подготовлена</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на</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основе</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данных</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Росстата</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о</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производстве,</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ценах</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производителей,</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продажах</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и</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потребительских</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ценах</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за</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январь–ноябрь</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2025</w:t>
      </w:r>
      <w:r w:rsidR="00CC3C7F">
        <w:rPr>
          <w:rFonts w:ascii="Times New Roman" w:eastAsia="Times New Roman" w:hAnsi="Times New Roman" w:cs="Times New Roman"/>
          <w:i/>
          <w:iCs/>
          <w:color w:val="0F1115"/>
          <w:sz w:val="24"/>
          <w:szCs w:val="24"/>
          <w:lang w:eastAsia="ru-RU"/>
        </w:rPr>
        <w:t xml:space="preserve"> </w:t>
      </w:r>
      <w:r w:rsidRPr="00BD431D">
        <w:rPr>
          <w:rFonts w:ascii="Times New Roman" w:eastAsia="Times New Roman" w:hAnsi="Times New Roman" w:cs="Times New Roman"/>
          <w:i/>
          <w:iCs/>
          <w:color w:val="0F1115"/>
          <w:sz w:val="24"/>
          <w:szCs w:val="24"/>
          <w:lang w:eastAsia="ru-RU"/>
        </w:rPr>
        <w:t>г.</w:t>
      </w:r>
      <w:r w:rsidR="001A096B" w:rsidRPr="00BD431D">
        <w:rPr>
          <w:rFonts w:ascii="Times New Roman" w:hAnsi="Times New Roman" w:cs="Times New Roman"/>
          <w:sz w:val="24"/>
          <w:szCs w:val="24"/>
        </w:rPr>
        <w:t xml:space="preserve"> </w:t>
      </w:r>
    </w:p>
    <w:sectPr w:rsidR="00C51689" w:rsidRPr="00BD431D" w:rsidSect="002A4F3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3ABF" w14:textId="77777777" w:rsidR="00C84D30" w:rsidRDefault="00C84D30" w:rsidP="00761710">
      <w:pPr>
        <w:spacing w:after="0" w:line="240" w:lineRule="auto"/>
      </w:pPr>
      <w:r>
        <w:separator/>
      </w:r>
    </w:p>
  </w:endnote>
  <w:endnote w:type="continuationSeparator" w:id="0">
    <w:p w14:paraId="0315493F" w14:textId="77777777" w:rsidR="00C84D30" w:rsidRDefault="00C84D30" w:rsidP="0076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DA57" w14:textId="77777777" w:rsidR="00C84D30" w:rsidRDefault="00C84D30" w:rsidP="00761710">
      <w:pPr>
        <w:spacing w:after="0" w:line="240" w:lineRule="auto"/>
      </w:pPr>
      <w:r>
        <w:separator/>
      </w:r>
    </w:p>
  </w:footnote>
  <w:footnote w:type="continuationSeparator" w:id="0">
    <w:p w14:paraId="3989CEBE" w14:textId="77777777" w:rsidR="00C84D30" w:rsidRDefault="00C84D30" w:rsidP="00761710">
      <w:pPr>
        <w:spacing w:after="0" w:line="240" w:lineRule="auto"/>
      </w:pPr>
      <w:r>
        <w:continuationSeparator/>
      </w:r>
    </w:p>
  </w:footnote>
  <w:footnote w:id="1">
    <w:p w14:paraId="0841B7DB" w14:textId="4949DD07" w:rsidR="006844FE" w:rsidRDefault="006844FE">
      <w:pPr>
        <w:pStyle w:val="a5"/>
      </w:pPr>
      <w:r>
        <w:rPr>
          <w:rStyle w:val="a7"/>
        </w:rPr>
        <w:footnoteRef/>
      </w:r>
      <w:r>
        <w:t xml:space="preserve"> Помимо отсутствия «взвешивания» товаров по их доле в потреблении, в части промышленных цен и объемов производства искажения могут быть связаны с временным лагом производства и потребления, неучетом того, какая доля произведенных товаров идет в запасы, или, наоборот, извлекается из запасов для продажи. Тем не менее на основе консолидированного мнения работавших над запиской группы экспертов эти искажения не могут оказать значимого влияния на результаты, так как общая динамика производства и провалы спроса подтверждаются множеством альтернативных источников помимо Росстата.</w:t>
      </w:r>
    </w:p>
  </w:footnote>
  <w:footnote w:id="2">
    <w:p w14:paraId="4CCA56B5" w14:textId="3900F4AD" w:rsidR="00761710" w:rsidRDefault="00761710">
      <w:pPr>
        <w:pStyle w:val="a5"/>
      </w:pPr>
      <w:r>
        <w:rPr>
          <w:rStyle w:val="a7"/>
        </w:rPr>
        <w:footnoteRef/>
      </w:r>
      <w:r>
        <w:t xml:space="preserve"> </w:t>
      </w:r>
      <w:hyperlink r:id="rId1" w:history="1">
        <w:r w:rsidRPr="0096324C">
          <w:rPr>
            <w:rStyle w:val="a8"/>
          </w:rPr>
          <w:t>https://www.frbsf.org/research-and-insights/publications/working-papers/2022/10/decomposing-supply-and-demand-driven-inflation/</w:t>
        </w:r>
      </w:hyperlink>
      <w:r>
        <w:t xml:space="preserve">, </w:t>
      </w:r>
      <w:hyperlink r:id="rId2" w:history="1">
        <w:r w:rsidRPr="0096324C">
          <w:rPr>
            <w:rStyle w:val="a8"/>
          </w:rPr>
          <w:t>https://papers.ssrn.com/sol3/papers.cfm?abstract_id=4270909</w:t>
        </w:r>
      </w:hyperlink>
      <w:r>
        <w:t xml:space="preserve"> </w:t>
      </w:r>
    </w:p>
  </w:footnote>
  <w:footnote w:id="3">
    <w:p w14:paraId="0BA06137" w14:textId="755B0F3E" w:rsidR="004E0C39" w:rsidRDefault="004E0C39">
      <w:pPr>
        <w:pStyle w:val="a5"/>
      </w:pPr>
      <w:r>
        <w:rPr>
          <w:rStyle w:val="a7"/>
        </w:rPr>
        <w:footnoteRef/>
      </w:r>
      <w:r>
        <w:t xml:space="preserve"> </w:t>
      </w:r>
      <w:r w:rsidRPr="00BD431D">
        <w:t>Инфляция предложения – это ситуация, когда цены растут из-за увеличения издержек производителей (сырьё, энергия, логистика, труд, импортные компоненты), а не из-за избыточного спроса. Производители вынуждены повышать цены, чтобы сохранить рентабельность, но при этом они не могут нарастить выпуск, а часто и сокращают его. Спрос в таких условиях не является драйвером роста цен – напротив, он может падать, но цены всё равно растут из-за себестоимости.</w:t>
      </w:r>
    </w:p>
  </w:footnote>
  <w:footnote w:id="4">
    <w:p w14:paraId="1C93BF5E" w14:textId="6019B369" w:rsidR="004756E1" w:rsidRDefault="004756E1">
      <w:pPr>
        <w:pStyle w:val="a5"/>
      </w:pPr>
      <w:r>
        <w:rPr>
          <w:rStyle w:val="a7"/>
        </w:rPr>
        <w:footnoteRef/>
      </w:r>
      <w:r>
        <w:t xml:space="preserve"> Разнонаправленная картина динамики цен и продаж с данными о промышленных ценах и производстве может объясняться динамикой импорта и ценами на него.</w:t>
      </w:r>
    </w:p>
  </w:footnote>
  <w:footnote w:id="5">
    <w:p w14:paraId="66C04CE1" w14:textId="0CE4A0B1" w:rsidR="006B1B9E" w:rsidRDefault="006B1B9E">
      <w:pPr>
        <w:pStyle w:val="a5"/>
      </w:pPr>
      <w:r>
        <w:rPr>
          <w:rStyle w:val="a7"/>
        </w:rPr>
        <w:footnoteRef/>
      </w:r>
      <w:r>
        <w:t xml:space="preserve"> Расчеты проводились по доступным данным Росстата на основе агрегации данных о продажах на основе индексов продаж в постоянных ценах. Таким образом, возможны искажения в связи с использованием ценовых, а не физических показателей.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897"/>
    <w:multiLevelType w:val="multilevel"/>
    <w:tmpl w:val="6AB65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41556"/>
    <w:multiLevelType w:val="multilevel"/>
    <w:tmpl w:val="7B26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A474F"/>
    <w:multiLevelType w:val="multilevel"/>
    <w:tmpl w:val="C40C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23270"/>
    <w:multiLevelType w:val="multilevel"/>
    <w:tmpl w:val="5F9A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74F0F"/>
    <w:multiLevelType w:val="multilevel"/>
    <w:tmpl w:val="8CE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B2637"/>
    <w:multiLevelType w:val="multilevel"/>
    <w:tmpl w:val="6A7E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27415"/>
    <w:multiLevelType w:val="multilevel"/>
    <w:tmpl w:val="42E6F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1812D5"/>
    <w:multiLevelType w:val="multilevel"/>
    <w:tmpl w:val="550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B03EF"/>
    <w:multiLevelType w:val="multilevel"/>
    <w:tmpl w:val="40881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F335E8"/>
    <w:multiLevelType w:val="multilevel"/>
    <w:tmpl w:val="73786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801CB"/>
    <w:multiLevelType w:val="multilevel"/>
    <w:tmpl w:val="D146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C456D"/>
    <w:multiLevelType w:val="multilevel"/>
    <w:tmpl w:val="680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32C0A"/>
    <w:multiLevelType w:val="multilevel"/>
    <w:tmpl w:val="7200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E4975"/>
    <w:multiLevelType w:val="multilevel"/>
    <w:tmpl w:val="9F6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07BCA"/>
    <w:multiLevelType w:val="multilevel"/>
    <w:tmpl w:val="9028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65890"/>
    <w:multiLevelType w:val="multilevel"/>
    <w:tmpl w:val="A47A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0B326D"/>
    <w:multiLevelType w:val="multilevel"/>
    <w:tmpl w:val="79FC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3C45F0"/>
    <w:multiLevelType w:val="multilevel"/>
    <w:tmpl w:val="AAE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209169">
    <w:abstractNumId w:val="15"/>
  </w:num>
  <w:num w:numId="2" w16cid:durableId="2142535208">
    <w:abstractNumId w:val="14"/>
  </w:num>
  <w:num w:numId="3" w16cid:durableId="936786138">
    <w:abstractNumId w:val="1"/>
  </w:num>
  <w:num w:numId="4" w16cid:durableId="2038702510">
    <w:abstractNumId w:val="0"/>
  </w:num>
  <w:num w:numId="5" w16cid:durableId="1283267605">
    <w:abstractNumId w:val="4"/>
  </w:num>
  <w:num w:numId="6" w16cid:durableId="358048887">
    <w:abstractNumId w:val="8"/>
  </w:num>
  <w:num w:numId="7" w16cid:durableId="585188538">
    <w:abstractNumId w:val="11"/>
  </w:num>
  <w:num w:numId="8" w16cid:durableId="22635314">
    <w:abstractNumId w:val="13"/>
  </w:num>
  <w:num w:numId="9" w16cid:durableId="1188061400">
    <w:abstractNumId w:val="7"/>
  </w:num>
  <w:num w:numId="10" w16cid:durableId="1238517203">
    <w:abstractNumId w:val="5"/>
  </w:num>
  <w:num w:numId="11" w16cid:durableId="63797922">
    <w:abstractNumId w:val="6"/>
  </w:num>
  <w:num w:numId="12" w16cid:durableId="372074293">
    <w:abstractNumId w:val="3"/>
  </w:num>
  <w:num w:numId="13" w16cid:durableId="796677155">
    <w:abstractNumId w:val="16"/>
  </w:num>
  <w:num w:numId="14" w16cid:durableId="1795438827">
    <w:abstractNumId w:val="10"/>
  </w:num>
  <w:num w:numId="15" w16cid:durableId="942614856">
    <w:abstractNumId w:val="12"/>
  </w:num>
  <w:num w:numId="16" w16cid:durableId="1305770452">
    <w:abstractNumId w:val="2"/>
  </w:num>
  <w:num w:numId="17" w16cid:durableId="1292978433">
    <w:abstractNumId w:val="17"/>
  </w:num>
  <w:num w:numId="18" w16cid:durableId="1953658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1D"/>
    <w:rsid w:val="00066031"/>
    <w:rsid w:val="0007198E"/>
    <w:rsid w:val="000A42F5"/>
    <w:rsid w:val="000C4BC7"/>
    <w:rsid w:val="000E33A5"/>
    <w:rsid w:val="000E552A"/>
    <w:rsid w:val="0014255B"/>
    <w:rsid w:val="001A096B"/>
    <w:rsid w:val="002151FD"/>
    <w:rsid w:val="00282C26"/>
    <w:rsid w:val="002A4F3E"/>
    <w:rsid w:val="002E3CAE"/>
    <w:rsid w:val="003922BB"/>
    <w:rsid w:val="003A6391"/>
    <w:rsid w:val="003F6F13"/>
    <w:rsid w:val="00450EDE"/>
    <w:rsid w:val="004756E1"/>
    <w:rsid w:val="004E0C39"/>
    <w:rsid w:val="005E325E"/>
    <w:rsid w:val="00675437"/>
    <w:rsid w:val="006844FE"/>
    <w:rsid w:val="006B1B9E"/>
    <w:rsid w:val="006E1E53"/>
    <w:rsid w:val="00761710"/>
    <w:rsid w:val="009157DC"/>
    <w:rsid w:val="009B42C6"/>
    <w:rsid w:val="00AE1DE6"/>
    <w:rsid w:val="00B76C51"/>
    <w:rsid w:val="00BD431D"/>
    <w:rsid w:val="00C51689"/>
    <w:rsid w:val="00C84D30"/>
    <w:rsid w:val="00CC3C7F"/>
    <w:rsid w:val="00D42836"/>
    <w:rsid w:val="00D74CB6"/>
    <w:rsid w:val="00DD587F"/>
    <w:rsid w:val="00EA22C6"/>
    <w:rsid w:val="00EA447B"/>
    <w:rsid w:val="00F5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AE3B"/>
  <w15:chartTrackingRefBased/>
  <w15:docId w15:val="{0F104D58-46D4-43E9-9BE9-C7DB6441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D43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A4F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431D"/>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BD4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BD431D"/>
    <w:rPr>
      <w:b/>
      <w:bCs/>
    </w:rPr>
  </w:style>
  <w:style w:type="character" w:styleId="a4">
    <w:name w:val="Emphasis"/>
    <w:basedOn w:val="a0"/>
    <w:uiPriority w:val="20"/>
    <w:qFormat/>
    <w:rsid w:val="00BD431D"/>
    <w:rPr>
      <w:i/>
      <w:iCs/>
    </w:rPr>
  </w:style>
  <w:style w:type="paragraph" w:styleId="a5">
    <w:name w:val="footnote text"/>
    <w:basedOn w:val="a"/>
    <w:link w:val="a6"/>
    <w:uiPriority w:val="99"/>
    <w:semiHidden/>
    <w:unhideWhenUsed/>
    <w:rsid w:val="00761710"/>
    <w:pPr>
      <w:spacing w:after="0" w:line="240" w:lineRule="auto"/>
    </w:pPr>
    <w:rPr>
      <w:sz w:val="20"/>
      <w:szCs w:val="20"/>
    </w:rPr>
  </w:style>
  <w:style w:type="character" w:customStyle="1" w:styleId="a6">
    <w:name w:val="Текст сноски Знак"/>
    <w:basedOn w:val="a0"/>
    <w:link w:val="a5"/>
    <w:uiPriority w:val="99"/>
    <w:semiHidden/>
    <w:rsid w:val="00761710"/>
    <w:rPr>
      <w:sz w:val="20"/>
      <w:szCs w:val="20"/>
    </w:rPr>
  </w:style>
  <w:style w:type="character" w:styleId="a7">
    <w:name w:val="footnote reference"/>
    <w:basedOn w:val="a0"/>
    <w:uiPriority w:val="99"/>
    <w:semiHidden/>
    <w:unhideWhenUsed/>
    <w:rsid w:val="00761710"/>
    <w:rPr>
      <w:vertAlign w:val="superscript"/>
    </w:rPr>
  </w:style>
  <w:style w:type="character" w:styleId="a8">
    <w:name w:val="Hyperlink"/>
    <w:basedOn w:val="a0"/>
    <w:uiPriority w:val="99"/>
    <w:unhideWhenUsed/>
    <w:rsid w:val="00761710"/>
    <w:rPr>
      <w:color w:val="0563C1" w:themeColor="hyperlink"/>
      <w:u w:val="single"/>
    </w:rPr>
  </w:style>
  <w:style w:type="character" w:styleId="a9">
    <w:name w:val="Unresolved Mention"/>
    <w:basedOn w:val="a0"/>
    <w:uiPriority w:val="99"/>
    <w:semiHidden/>
    <w:unhideWhenUsed/>
    <w:rsid w:val="00761710"/>
    <w:rPr>
      <w:color w:val="605E5C"/>
      <w:shd w:val="clear" w:color="auto" w:fill="E1DFDD"/>
    </w:rPr>
  </w:style>
  <w:style w:type="paragraph" w:styleId="aa">
    <w:name w:val="List Paragraph"/>
    <w:basedOn w:val="a"/>
    <w:uiPriority w:val="34"/>
    <w:qFormat/>
    <w:rsid w:val="004E0C39"/>
    <w:pPr>
      <w:ind w:left="720"/>
      <w:contextualSpacing/>
    </w:pPr>
  </w:style>
  <w:style w:type="character" w:customStyle="1" w:styleId="40">
    <w:name w:val="Заголовок 4 Знак"/>
    <w:basedOn w:val="a0"/>
    <w:link w:val="4"/>
    <w:uiPriority w:val="9"/>
    <w:rsid w:val="002A4F3E"/>
    <w:rPr>
      <w:rFonts w:ascii="Times New Roman" w:eastAsia="Times New Roman" w:hAnsi="Times New Roman" w:cs="Times New Roman"/>
      <w:b/>
      <w:bCs/>
      <w:sz w:val="24"/>
      <w:szCs w:val="24"/>
      <w:lang w:eastAsia="ru-RU"/>
    </w:rPr>
  </w:style>
  <w:style w:type="paragraph" w:customStyle="1" w:styleId="msonormal0">
    <w:name w:val="msonormal"/>
    <w:basedOn w:val="a"/>
    <w:rsid w:val="002A4F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28487">
      <w:bodyDiv w:val="1"/>
      <w:marLeft w:val="0"/>
      <w:marRight w:val="0"/>
      <w:marTop w:val="0"/>
      <w:marBottom w:val="0"/>
      <w:divBdr>
        <w:top w:val="none" w:sz="0" w:space="0" w:color="auto"/>
        <w:left w:val="none" w:sz="0" w:space="0" w:color="auto"/>
        <w:bottom w:val="none" w:sz="0" w:space="0" w:color="auto"/>
        <w:right w:val="none" w:sz="0" w:space="0" w:color="auto"/>
      </w:divBdr>
    </w:div>
    <w:div w:id="1020007371">
      <w:bodyDiv w:val="1"/>
      <w:marLeft w:val="0"/>
      <w:marRight w:val="0"/>
      <w:marTop w:val="0"/>
      <w:marBottom w:val="0"/>
      <w:divBdr>
        <w:top w:val="none" w:sz="0" w:space="0" w:color="auto"/>
        <w:left w:val="none" w:sz="0" w:space="0" w:color="auto"/>
        <w:bottom w:val="none" w:sz="0" w:space="0" w:color="auto"/>
        <w:right w:val="none" w:sz="0" w:space="0" w:color="auto"/>
      </w:divBdr>
    </w:div>
    <w:div w:id="13591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apers.ssrn.com/sol3/papers.cfm?abstract_id=4270909" TargetMode="External"/><Relationship Id="rId1" Type="http://schemas.openxmlformats.org/officeDocument/2006/relationships/hyperlink" Target="https://www.frbsf.org/research-and-insights/publications/working-papers/2022/10/decomposing-supply-and-demand-driven-inf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8346-CE03-4FD5-90BE-DFE7908C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Sviridenko Anton</dc:creator>
  <cp:keywords/>
  <dc:description/>
  <cp:lastModifiedBy>Olga</cp:lastModifiedBy>
  <cp:revision>2</cp:revision>
  <dcterms:created xsi:type="dcterms:W3CDTF">2026-03-12T10:23:00Z</dcterms:created>
  <dcterms:modified xsi:type="dcterms:W3CDTF">2026-03-12T10:23:00Z</dcterms:modified>
</cp:coreProperties>
</file>