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D355" w14:textId="77777777" w:rsidR="00CF1B66" w:rsidRDefault="00994877">
      <w:pPr>
        <w:spacing w:before="1200" w:after="200"/>
        <w:rPr>
          <w:rFonts w:ascii="Arial" w:hAnsi="Arial"/>
        </w:rPr>
      </w:pPr>
      <w:r>
        <w:rPr>
          <w:rFonts w:ascii="Arial" w:hAnsi="Arial"/>
          <w:b/>
          <w:color w:val="01696F"/>
          <w:spacing w:val="80"/>
          <w:sz w:val="24"/>
        </w:rPr>
        <w:t>АНАЛИТИЧЕСКИЙ ДАЙДЖЕСТ</w:t>
      </w:r>
    </w:p>
    <w:p w14:paraId="0F1E4058" w14:textId="77777777" w:rsidR="00CF1B66" w:rsidRDefault="00CF1B66">
      <w:pPr>
        <w:pBdr>
          <w:bottom w:val="single" w:sz="24" w:space="4" w:color="01696F"/>
        </w:pBdr>
        <w:spacing w:after="180"/>
        <w:rPr>
          <w:rFonts w:ascii="Arial" w:hAnsi="Arial"/>
        </w:rPr>
      </w:pPr>
    </w:p>
    <w:p w14:paraId="169728FE" w14:textId="77777777" w:rsidR="00CF1B66" w:rsidRDefault="00994877">
      <w:pPr>
        <w:spacing w:before="200" w:after="200"/>
        <w:rPr>
          <w:rFonts w:ascii="Arial" w:hAnsi="Arial"/>
        </w:rPr>
      </w:pPr>
      <w:r>
        <w:rPr>
          <w:rFonts w:ascii="Arial" w:hAnsi="Arial"/>
          <w:b/>
          <w:color w:val="1A1A1A"/>
          <w:sz w:val="64"/>
        </w:rPr>
        <w:t>Инвестиции в России</w:t>
      </w:r>
    </w:p>
    <w:p w14:paraId="400C5484" w14:textId="77777777" w:rsidR="00CF1B66" w:rsidRDefault="00994877">
      <w:pPr>
        <w:spacing w:after="600"/>
        <w:rPr>
          <w:rFonts w:ascii="Arial" w:hAnsi="Arial"/>
        </w:rPr>
      </w:pPr>
      <w:r>
        <w:rPr>
          <w:rFonts w:ascii="Arial" w:hAnsi="Arial"/>
          <w:color w:val="5A5A5A"/>
          <w:sz w:val="44"/>
        </w:rPr>
        <w:t>I квартал 2026 года</w:t>
      </w:r>
    </w:p>
    <w:p w14:paraId="3413274B" w14:textId="77777777" w:rsidR="00CF1B66" w:rsidRDefault="00994877">
      <w:pPr>
        <w:spacing w:before="200" w:after="60"/>
        <w:rPr>
          <w:rFonts w:ascii="Arial" w:hAnsi="Arial"/>
        </w:rPr>
      </w:pPr>
      <w:r>
        <w:rPr>
          <w:rFonts w:ascii="Arial" w:hAnsi="Arial"/>
          <w:i/>
          <w:color w:val="1A1A1A"/>
          <w:sz w:val="24"/>
        </w:rPr>
        <w:t>Структурный обзор инвестиционной активности</w:t>
      </w:r>
    </w:p>
    <w:p w14:paraId="5DD72BD4" w14:textId="77777777" w:rsidR="00CF1B66" w:rsidRDefault="00994877">
      <w:pPr>
        <w:spacing w:after="1200"/>
        <w:rPr>
          <w:rFonts w:ascii="Arial" w:hAnsi="Arial"/>
        </w:rPr>
      </w:pPr>
      <w:r>
        <w:rPr>
          <w:rFonts w:ascii="Arial" w:hAnsi="Arial"/>
          <w:i/>
          <w:color w:val="5A5A5A"/>
          <w:sz w:val="22"/>
        </w:rPr>
        <w:t>Динамика, источники, качество вложений, крупнейшие проекты, модель квартала</w:t>
      </w:r>
    </w:p>
    <w:p w14:paraId="22B95E13" w14:textId="77777777" w:rsidR="00CF1B66" w:rsidRDefault="00994877">
      <w:pPr>
        <w:spacing w:before="800" w:after="60"/>
        <w:rPr>
          <w:rFonts w:ascii="Arial" w:hAnsi="Arial"/>
        </w:rPr>
      </w:pPr>
      <w:r>
        <w:rPr>
          <w:rFonts w:ascii="Arial" w:hAnsi="Arial"/>
          <w:b/>
          <w:color w:val="1A1A1A"/>
          <w:sz w:val="22"/>
        </w:rPr>
        <w:t>Период: 1 января – 31 марта 2026 г.</w:t>
      </w:r>
    </w:p>
    <w:p w14:paraId="3C5AD49F" w14:textId="77777777" w:rsidR="00CF1B66" w:rsidRDefault="00994877">
      <w:pPr>
        <w:spacing w:after="60"/>
        <w:rPr>
          <w:rFonts w:ascii="Arial" w:hAnsi="Arial"/>
          <w:color w:val="1A1A1A"/>
          <w:sz w:val="22"/>
        </w:rPr>
      </w:pPr>
      <w:r>
        <w:rPr>
          <w:rFonts w:ascii="Arial" w:hAnsi="Arial"/>
          <w:color w:val="1A1A1A"/>
          <w:sz w:val="22"/>
        </w:rPr>
        <w:t>Дата подготовки: май 2026 г.</w:t>
      </w:r>
    </w:p>
    <w:p w14:paraId="039BA9D0" w14:textId="77777777" w:rsidR="00CF1B66" w:rsidRDefault="00994877">
      <w:pPr>
        <w:spacing w:after="60"/>
        <w:rPr>
          <w:rFonts w:ascii="Arial" w:hAnsi="Arial"/>
        </w:rPr>
      </w:pPr>
      <w:r>
        <w:rPr>
          <w:rFonts w:ascii="Arial" w:hAnsi="Arial"/>
          <w:color w:val="1A1A1A"/>
          <w:sz w:val="22"/>
        </w:rPr>
        <w:t>Дата обновления: 4 июня 2026 г.</w:t>
      </w:r>
    </w:p>
    <w:p w14:paraId="05CE4012" w14:textId="77777777" w:rsidR="00CF1B66" w:rsidRDefault="00994877">
      <w:pPr>
        <w:spacing w:before="600"/>
        <w:rPr>
          <w:rFonts w:ascii="Arial" w:hAnsi="Arial"/>
        </w:rPr>
      </w:pPr>
      <w:r>
        <w:rPr>
          <w:rFonts w:ascii="Arial" w:hAnsi="Arial"/>
          <w:b/>
          <w:color w:val="5A5A5A"/>
          <w:sz w:val="19"/>
        </w:rPr>
        <w:t xml:space="preserve">Источники данных: </w:t>
      </w:r>
    </w:p>
    <w:p w14:paraId="547CAC28" w14:textId="77777777" w:rsidR="00CF1B66" w:rsidRDefault="00994877">
      <w:pPr>
        <w:spacing w:after="60" w:line="280" w:lineRule="auto"/>
        <w:rPr>
          <w:rFonts w:ascii="Arial" w:hAnsi="Arial"/>
        </w:rPr>
      </w:pPr>
      <w:r>
        <w:rPr>
          <w:rFonts w:ascii="Arial" w:hAnsi="Arial"/>
          <w:i/>
          <w:color w:val="5A5A5A"/>
          <w:sz w:val="19"/>
        </w:rPr>
        <w:t>Росстат · Банк России · Минэкономразвития · Минфин · ВЭБ.РФ · АКРА · НКР · RAEX · РСПП · Опора России / ПСБ (RSBI) · S&amp;P Global (PMI) · ИНП РАН · ЦМАКП · Минпромторг</w:t>
      </w:r>
    </w:p>
    <w:p w14:paraId="4DE56E85" w14:textId="77777777" w:rsidR="00CF1B66" w:rsidRDefault="00994877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75CDC50C" w14:textId="77777777" w:rsidR="00CF1B66" w:rsidRDefault="00994877">
      <w:pPr>
        <w:pStyle w:val="10"/>
        <w:tabs>
          <w:tab w:val="left" w:pos="7281"/>
        </w:tabs>
        <w:rPr>
          <w:rFonts w:ascii="Arial" w:hAnsi="Arial"/>
        </w:rPr>
      </w:pPr>
      <w:r>
        <w:rPr>
          <w:rFonts w:ascii="Arial" w:hAnsi="Arial"/>
        </w:rPr>
        <w:lastRenderedPageBreak/>
        <w:t>Ключевые выводы</w:t>
      </w:r>
      <w:r>
        <w:rPr>
          <w:rFonts w:ascii="Arial" w:hAnsi="Aria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CF1B66" w14:paraId="2A2BC4DB" w14:textId="77777777">
        <w:tc>
          <w:tcPr>
            <w:tcW w:w="9746" w:type="dxa"/>
            <w:tcBorders>
              <w:top w:val="single" w:sz="8" w:space="0" w:color="01696F"/>
              <w:left w:val="single" w:sz="24" w:space="0" w:color="01696F"/>
              <w:bottom w:val="single" w:sz="4" w:space="0" w:color="01696F"/>
              <w:right w:val="single" w:sz="4" w:space="0" w:color="01696F"/>
            </w:tcBorders>
            <w:shd w:val="clear" w:color="auto" w:fill="F7F4ED"/>
            <w:tcMar>
              <w:top w:w="180" w:type="dxa"/>
              <w:left w:w="240" w:type="dxa"/>
              <w:bottom w:w="180" w:type="dxa"/>
              <w:right w:w="200" w:type="dxa"/>
            </w:tcMar>
          </w:tcPr>
          <w:p w14:paraId="720D4A4D" w14:textId="77777777" w:rsidR="00CF1B66" w:rsidRDefault="00994877">
            <w:pPr>
              <w:spacing w:after="8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1696F"/>
                <w:sz w:val="22"/>
              </w:rPr>
              <w:t>Главный тезис квартала</w:t>
            </w:r>
          </w:p>
          <w:p w14:paraId="02E87060" w14:textId="66B9DE8E" w:rsidR="00CF1B66" w:rsidRDefault="00994877">
            <w:pPr>
              <w:spacing w:line="30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</w:rPr>
              <w:t>I квартал 2026 года сложился как период</w:t>
            </w:r>
            <w:r w:rsidR="001A61D6">
              <w:rPr>
                <w:rFonts w:ascii="Arial" w:hAnsi="Arial"/>
                <w:color w:val="1A1A1A"/>
              </w:rPr>
              <w:t xml:space="preserve"> выраженной</w:t>
            </w:r>
            <w:r>
              <w:rPr>
                <w:rFonts w:ascii="Arial" w:hAnsi="Arial"/>
                <w:color w:val="1A1A1A"/>
              </w:rPr>
              <w:t xml:space="preserve"> инвестиционной паузы. Инвестиции в основной капитал сократились на 14,3% год к году — четвертый подряд квартал отрицательной динамики. Сложившаяся модель — «сдержанная государственно-инфраструктурная»: мегапроекты с участием государства (ВСМ Москва–СПб, «Восток Ойл», Балтийский ГХК, Курская АЭС-2) продолжают финансироваться через ФНБ и квазигосударственные механизмы, в то время как частный корпоративный инвестцикл фактически заморожен высокой ключевой ставкой 15–16%.</w:t>
            </w:r>
          </w:p>
        </w:tc>
      </w:tr>
    </w:tbl>
    <w:p w14:paraId="6C2BBEF4" w14:textId="77777777" w:rsidR="00CF1B66" w:rsidRDefault="00CF1B66">
      <w:pPr>
        <w:spacing w:before="100"/>
        <w:rPr>
          <w:rFonts w:ascii="Arial" w:hAnsi="Arial"/>
        </w:rPr>
      </w:pPr>
    </w:p>
    <w:p w14:paraId="65498CBA" w14:textId="77777777" w:rsidR="00CF1B66" w:rsidRDefault="00994877">
      <w:pPr>
        <w:pStyle w:val="3"/>
        <w:rPr>
          <w:rFonts w:ascii="Arial" w:hAnsi="Arial"/>
        </w:rPr>
      </w:pPr>
      <w:r>
        <w:rPr>
          <w:rFonts w:ascii="Arial" w:hAnsi="Arial"/>
        </w:rPr>
        <w:t>I кв. 2026 в цифрах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8"/>
        <w:gridCol w:w="3249"/>
        <w:gridCol w:w="3249"/>
      </w:tblGrid>
      <w:tr w:rsidR="00CF1B66" w14:paraId="4D44E460" w14:textId="77777777">
        <w:tc>
          <w:tcPr>
            <w:tcW w:w="3248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200" w:type="dxa"/>
              <w:left w:w="200" w:type="dxa"/>
              <w:bottom w:w="160" w:type="dxa"/>
              <w:right w:w="200" w:type="dxa"/>
            </w:tcMar>
            <w:vAlign w:val="center"/>
          </w:tcPr>
          <w:p w14:paraId="51A89F99" w14:textId="77777777" w:rsidR="00CF1B66" w:rsidRDefault="00994877">
            <w:pPr>
              <w:spacing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8B1E1E"/>
                <w:sz w:val="56"/>
              </w:rPr>
              <w:t>−14,3%</w:t>
            </w:r>
          </w:p>
          <w:p w14:paraId="4CFF9D3A" w14:textId="77777777" w:rsidR="00CF1B66" w:rsidRDefault="00994877">
            <w:pPr>
              <w:spacing w:line="2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5A5A5A"/>
                <w:sz w:val="18"/>
              </w:rPr>
              <w:t>Инвестиции в осн. капитал, г/г</w:t>
            </w:r>
          </w:p>
        </w:tc>
        <w:tc>
          <w:tcPr>
            <w:tcW w:w="3249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200" w:type="dxa"/>
              <w:left w:w="200" w:type="dxa"/>
              <w:bottom w:w="160" w:type="dxa"/>
              <w:right w:w="200" w:type="dxa"/>
            </w:tcMar>
            <w:vAlign w:val="center"/>
          </w:tcPr>
          <w:p w14:paraId="053FA273" w14:textId="77777777" w:rsidR="00CF1B66" w:rsidRDefault="00994877">
            <w:pPr>
              <w:spacing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8B1E1E"/>
                <w:sz w:val="56"/>
              </w:rPr>
              <w:t>−0,2%</w:t>
            </w:r>
          </w:p>
          <w:p w14:paraId="7547CA39" w14:textId="77777777" w:rsidR="00CF1B66" w:rsidRDefault="00994877">
            <w:pPr>
              <w:spacing w:line="2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5A5A5A"/>
                <w:sz w:val="18"/>
              </w:rPr>
              <w:t>ВВП, г/г (Росстат, оценка)</w:t>
            </w:r>
          </w:p>
        </w:tc>
        <w:tc>
          <w:tcPr>
            <w:tcW w:w="3249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200" w:type="dxa"/>
              <w:left w:w="200" w:type="dxa"/>
              <w:bottom w:w="160" w:type="dxa"/>
              <w:right w:w="200" w:type="dxa"/>
            </w:tcMar>
            <w:vAlign w:val="center"/>
          </w:tcPr>
          <w:p w14:paraId="5E25F29A" w14:textId="77777777" w:rsidR="00CF1B66" w:rsidRDefault="00994877">
            <w:pPr>
              <w:spacing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B85C00"/>
                <w:sz w:val="56"/>
              </w:rPr>
              <w:t>+0,3%</w:t>
            </w:r>
          </w:p>
          <w:p w14:paraId="70D8EE8F" w14:textId="77777777" w:rsidR="00CF1B66" w:rsidRDefault="00994877">
            <w:pPr>
              <w:spacing w:line="2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5A5A5A"/>
                <w:sz w:val="18"/>
              </w:rPr>
              <w:t>Промпроизводство, г/г (Росстат)</w:t>
            </w:r>
          </w:p>
        </w:tc>
      </w:tr>
      <w:tr w:rsidR="00CF1B66" w14:paraId="1CD774B0" w14:textId="77777777">
        <w:tc>
          <w:tcPr>
            <w:tcW w:w="3248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4F1EC"/>
            <w:tcMar>
              <w:top w:w="200" w:type="dxa"/>
              <w:left w:w="200" w:type="dxa"/>
              <w:bottom w:w="160" w:type="dxa"/>
              <w:right w:w="200" w:type="dxa"/>
            </w:tcMar>
            <w:vAlign w:val="center"/>
          </w:tcPr>
          <w:p w14:paraId="66FA1D9A" w14:textId="77777777" w:rsidR="00CF1B66" w:rsidRDefault="00994877">
            <w:pPr>
              <w:spacing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1696F"/>
                <w:sz w:val="56"/>
              </w:rPr>
              <w:t>14,5%</w:t>
            </w:r>
          </w:p>
          <w:p w14:paraId="244E77E9" w14:textId="77777777" w:rsidR="00CF1B66" w:rsidRDefault="00994877">
            <w:pPr>
              <w:spacing w:line="2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5A5A5A"/>
                <w:sz w:val="18"/>
              </w:rPr>
              <w:t>Ключевая ставка ЦБ (на 04.06.2026)</w:t>
            </w:r>
          </w:p>
        </w:tc>
        <w:tc>
          <w:tcPr>
            <w:tcW w:w="3249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4F1EC"/>
            <w:tcMar>
              <w:top w:w="200" w:type="dxa"/>
              <w:left w:w="200" w:type="dxa"/>
              <w:bottom w:w="160" w:type="dxa"/>
              <w:right w:w="200" w:type="dxa"/>
            </w:tcMar>
            <w:vAlign w:val="center"/>
          </w:tcPr>
          <w:p w14:paraId="715AECC0" w14:textId="77777777" w:rsidR="00CF1B66" w:rsidRDefault="00994877">
            <w:pPr>
              <w:spacing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1696F"/>
                <w:sz w:val="56"/>
              </w:rPr>
              <w:t>62,7%</w:t>
            </w:r>
          </w:p>
          <w:p w14:paraId="48396A0D" w14:textId="77777777" w:rsidR="00CF1B66" w:rsidRDefault="00994877">
            <w:pPr>
              <w:spacing w:line="2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5A5A5A"/>
                <w:sz w:val="18"/>
              </w:rPr>
              <w:t>Доля собств. средств в инвестициях</w:t>
            </w:r>
          </w:p>
        </w:tc>
        <w:tc>
          <w:tcPr>
            <w:tcW w:w="3249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4F1EC"/>
            <w:tcMar>
              <w:top w:w="200" w:type="dxa"/>
              <w:left w:w="200" w:type="dxa"/>
              <w:bottom w:w="160" w:type="dxa"/>
              <w:right w:w="200" w:type="dxa"/>
            </w:tcMar>
            <w:vAlign w:val="center"/>
          </w:tcPr>
          <w:p w14:paraId="5DA64891" w14:textId="77777777" w:rsidR="00CF1B66" w:rsidRDefault="00994877">
            <w:pPr>
              <w:spacing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8B1E1E"/>
                <w:sz w:val="56"/>
              </w:rPr>
              <w:t>48,1</w:t>
            </w:r>
          </w:p>
          <w:p w14:paraId="4F3AC654" w14:textId="77777777" w:rsidR="00CF1B66" w:rsidRDefault="00994877">
            <w:pPr>
              <w:spacing w:line="2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5A5A5A"/>
                <w:sz w:val="18"/>
              </w:rPr>
              <w:t>PMI обработки (май 2026)</w:t>
            </w:r>
          </w:p>
        </w:tc>
      </w:tr>
    </w:tbl>
    <w:p w14:paraId="10A43432" w14:textId="77777777" w:rsidR="00CF1B66" w:rsidRDefault="00CF1B66">
      <w:pPr>
        <w:spacing w:before="240"/>
        <w:rPr>
          <w:rFonts w:ascii="Arial" w:hAnsi="Arial"/>
        </w:rPr>
      </w:pPr>
    </w:p>
    <w:p w14:paraId="067314BF" w14:textId="77777777" w:rsidR="00CF1B66" w:rsidRDefault="00994877">
      <w:pPr>
        <w:pStyle w:val="3"/>
        <w:rPr>
          <w:rFonts w:ascii="Arial" w:hAnsi="Arial"/>
        </w:rPr>
      </w:pPr>
      <w:r>
        <w:rPr>
          <w:rFonts w:ascii="Arial" w:hAnsi="Arial"/>
        </w:rPr>
        <w:t>Основные тенденции квартала</w:t>
      </w:r>
    </w:p>
    <w:p w14:paraId="07EF87CE" w14:textId="77777777" w:rsidR="00CF1B66" w:rsidRDefault="00994877">
      <w:pPr>
        <w:pStyle w:val="af4"/>
        <w:numPr>
          <w:ilvl w:val="0"/>
          <w:numId w:val="1"/>
        </w:numPr>
        <w:spacing w:before="30" w:after="60" w:line="290" w:lineRule="auto"/>
        <w:rPr>
          <w:rFonts w:ascii="Arial" w:hAnsi="Arial"/>
        </w:rPr>
      </w:pPr>
      <w:r>
        <w:rPr>
          <w:rFonts w:ascii="Arial" w:hAnsi="Arial"/>
          <w:b/>
          <w:color w:val="1A1A1A"/>
        </w:rPr>
        <w:t xml:space="preserve">Инвестиционный цикл вошел в четвертый квартал спада подряд. </w:t>
      </w:r>
      <w:r>
        <w:rPr>
          <w:rFonts w:ascii="Arial" w:hAnsi="Arial"/>
          <w:color w:val="1A1A1A"/>
        </w:rPr>
        <w:t>После +6,5% год к году в I кв. 2025 г. квартальная динамика непрерывно ухудшалась: −1,0% во II кв. 2025, −4,3% в III кв. 2025, −5,3% в IV кв. 2025 и, наконец, −14,3% в I кв. 2026. Спад связан с эффектом высокой базы 2024 г., ужесточением ДКП и повышением НДС с 1 января 2026 г. с 20% до 22%.</w:t>
      </w:r>
    </w:p>
    <w:p w14:paraId="0B39A7F4" w14:textId="77777777" w:rsidR="00CF1B66" w:rsidRDefault="00994877">
      <w:pPr>
        <w:pStyle w:val="af4"/>
        <w:numPr>
          <w:ilvl w:val="0"/>
          <w:numId w:val="1"/>
        </w:numPr>
        <w:spacing w:before="30" w:after="60" w:line="290" w:lineRule="auto"/>
        <w:rPr>
          <w:rFonts w:ascii="Arial" w:hAnsi="Arial"/>
        </w:rPr>
      </w:pPr>
      <w:r>
        <w:rPr>
          <w:rFonts w:ascii="Arial" w:hAnsi="Arial"/>
          <w:b/>
          <w:color w:val="1A1A1A"/>
        </w:rPr>
        <w:t xml:space="preserve">Качество инвестиций снижается. </w:t>
      </w:r>
      <w:r>
        <w:rPr>
          <w:rFonts w:ascii="Arial" w:hAnsi="Arial"/>
          <w:color w:val="1A1A1A"/>
        </w:rPr>
        <w:t>В I кв. 2026 доля машин и оборудования составила 34%, что выше по сравнению с итогом 2025 г. (32,7%), однако ниже, чем в I кв. 2025 (36,7%). Это означает сдвиг к менее производительному капиталу.</w:t>
      </w:r>
    </w:p>
    <w:p w14:paraId="3DED055F" w14:textId="77777777" w:rsidR="00CF1B66" w:rsidRDefault="00994877">
      <w:pPr>
        <w:pStyle w:val="af4"/>
        <w:numPr>
          <w:ilvl w:val="0"/>
          <w:numId w:val="1"/>
        </w:numPr>
        <w:spacing w:before="30" w:after="60" w:line="290" w:lineRule="auto"/>
        <w:rPr>
          <w:rFonts w:ascii="Arial" w:hAnsi="Arial"/>
        </w:rPr>
      </w:pPr>
      <w:r>
        <w:rPr>
          <w:rFonts w:ascii="Arial" w:hAnsi="Arial"/>
          <w:b/>
          <w:color w:val="1A1A1A"/>
        </w:rPr>
        <w:t xml:space="preserve">Самофинансирование вытесняет банковский кредит. </w:t>
      </w:r>
      <w:r>
        <w:rPr>
          <w:rFonts w:ascii="Arial" w:hAnsi="Arial"/>
          <w:color w:val="1A1A1A"/>
        </w:rPr>
        <w:t>Доля собственных средств в источниках инвестиций выросла до 62,7%; доля банковских кредитов составила 13,9%.</w:t>
      </w:r>
    </w:p>
    <w:p w14:paraId="48F3DD29" w14:textId="77777777" w:rsidR="00CF1B66" w:rsidRDefault="00994877">
      <w:pPr>
        <w:pStyle w:val="af4"/>
        <w:numPr>
          <w:ilvl w:val="0"/>
          <w:numId w:val="1"/>
        </w:numPr>
        <w:spacing w:before="30" w:after="60" w:line="290" w:lineRule="auto"/>
        <w:rPr>
          <w:rFonts w:ascii="Arial" w:hAnsi="Arial"/>
        </w:rPr>
      </w:pPr>
      <w:r>
        <w:rPr>
          <w:rFonts w:ascii="Arial" w:hAnsi="Arial"/>
          <w:b/>
          <w:color w:val="1A1A1A"/>
        </w:rPr>
        <w:t xml:space="preserve">Гражданско-военный дуализм. </w:t>
      </w:r>
      <w:r>
        <w:rPr>
          <w:rFonts w:ascii="Arial" w:hAnsi="Arial"/>
          <w:color w:val="1A1A1A"/>
        </w:rPr>
        <w:t>Производство «прочих транспортных средств» (ВПК-сегмент: дроны, авиация, судостроение) +32% в 2025 году по сравнению с 2024-м при падении гражданских отраслей: металлургия −2,1%, лесоматериалы −2,5%, химия −0,8%.</w:t>
      </w:r>
    </w:p>
    <w:p w14:paraId="4E784AF4" w14:textId="77777777" w:rsidR="00CF1B66" w:rsidRDefault="00994877">
      <w:pPr>
        <w:pStyle w:val="af4"/>
        <w:numPr>
          <w:ilvl w:val="0"/>
          <w:numId w:val="1"/>
        </w:numPr>
        <w:spacing w:before="30" w:after="60" w:line="290" w:lineRule="auto"/>
        <w:rPr>
          <w:rFonts w:ascii="Arial" w:hAnsi="Arial"/>
        </w:rPr>
      </w:pPr>
      <w:r>
        <w:rPr>
          <w:rFonts w:ascii="Arial" w:hAnsi="Arial"/>
          <w:b/>
          <w:color w:val="1A1A1A"/>
        </w:rPr>
        <w:t xml:space="preserve">Деловые настроения пессимистичные. </w:t>
      </w:r>
      <w:r>
        <w:rPr>
          <w:rFonts w:ascii="Arial" w:hAnsi="Arial"/>
          <w:color w:val="1A1A1A"/>
        </w:rPr>
        <w:t>PMI обработки уже 11-й подряд месяц ниже 50 пунктов. Настроения российской промышленности по ИНП РАН в мае 2026 сохранились на апрельском уровне, который показал рост на 7 пунктов по сравнению с мартом, однако по-прежнему находятся в хоне пессимизма.</w:t>
      </w:r>
    </w:p>
    <w:p w14:paraId="77E06368" w14:textId="44BF7294" w:rsidR="00CF1B66" w:rsidRDefault="00994877">
      <w:pPr>
        <w:pStyle w:val="af4"/>
        <w:numPr>
          <w:ilvl w:val="0"/>
          <w:numId w:val="1"/>
        </w:numPr>
        <w:spacing w:before="30" w:after="60" w:line="290" w:lineRule="auto"/>
        <w:rPr>
          <w:rFonts w:ascii="Arial" w:hAnsi="Arial"/>
        </w:rPr>
      </w:pPr>
      <w:r>
        <w:rPr>
          <w:rFonts w:ascii="Arial" w:hAnsi="Arial"/>
          <w:b/>
          <w:color w:val="1A1A1A"/>
        </w:rPr>
        <w:t xml:space="preserve">Сигналы стабилизации появились в апреле. </w:t>
      </w:r>
      <w:r>
        <w:rPr>
          <w:rFonts w:ascii="Arial" w:hAnsi="Arial"/>
          <w:color w:val="1A1A1A"/>
        </w:rPr>
        <w:t>ИБК ЦБ восстановился до +2,2 п. На фоне снижения ключевой ставки до 14,5% и положительного календарного эффекта II кв. 2026 возможен переход к нулевой/слабоположительной динамике инвестиций</w:t>
      </w:r>
      <w:r w:rsidR="001A61D6">
        <w:rPr>
          <w:rFonts w:ascii="Arial" w:hAnsi="Arial"/>
          <w:color w:val="1A1A1A"/>
        </w:rPr>
        <w:t>, однако,</w:t>
      </w:r>
      <w:r w:rsidR="00BF66C4">
        <w:rPr>
          <w:rFonts w:ascii="Arial" w:hAnsi="Arial"/>
          <w:color w:val="1A1A1A"/>
        </w:rPr>
        <w:t xml:space="preserve"> дальнейшее снижение ИБК в мае до +1,7 п. говорит как о хрупкости тенденции, </w:t>
      </w:r>
      <w:r w:rsidR="00BA1311">
        <w:rPr>
          <w:rFonts w:ascii="Arial" w:hAnsi="Arial"/>
          <w:color w:val="1A1A1A"/>
        </w:rPr>
        <w:t xml:space="preserve">так и о том, что такой </w:t>
      </w:r>
      <w:r w:rsidR="00BA1311">
        <w:rPr>
          <w:rFonts w:ascii="Arial" w:hAnsi="Arial"/>
          <w:color w:val="1A1A1A"/>
        </w:rPr>
        <w:lastRenderedPageBreak/>
        <w:t>переход возможен</w:t>
      </w:r>
      <w:r w:rsidR="001A61D6">
        <w:rPr>
          <w:rFonts w:ascii="Arial" w:hAnsi="Arial"/>
          <w:color w:val="1A1A1A"/>
        </w:rPr>
        <w:t xml:space="preserve"> лишь при дальнейшем снижении ставки и принятии компенсаторных мер в виде новых специальных инструментов поддержки инвестиций</w:t>
      </w:r>
      <w:r>
        <w:rPr>
          <w:rFonts w:ascii="Arial" w:hAnsi="Arial"/>
          <w:color w:val="1A1A1A"/>
        </w:rPr>
        <w:t>.</w:t>
      </w:r>
      <w:r w:rsidR="00BA1311">
        <w:rPr>
          <w:rFonts w:ascii="Arial" w:hAnsi="Arial"/>
          <w:color w:val="1A1A1A"/>
        </w:rPr>
        <w:t xml:space="preserve"> То есть текущими макроусловиями инвестиционный разворот не обеспечивается.</w:t>
      </w:r>
    </w:p>
    <w:p w14:paraId="765274C7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Инвестиционная модель квартала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CF1B66" w14:paraId="7E5C8AE5" w14:textId="77777777">
        <w:tc>
          <w:tcPr>
            <w:tcW w:w="9746" w:type="dxa"/>
            <w:tcBorders>
              <w:top w:val="single" w:sz="8" w:space="0" w:color="01696F"/>
              <w:left w:val="single" w:sz="24" w:space="0" w:color="01696F"/>
              <w:bottom w:val="single" w:sz="4" w:space="0" w:color="01696F"/>
              <w:right w:val="single" w:sz="4" w:space="0" w:color="01696F"/>
            </w:tcBorders>
            <w:shd w:val="clear" w:color="auto" w:fill="F7F4ED"/>
            <w:tcMar>
              <w:top w:w="180" w:type="dxa"/>
              <w:left w:w="240" w:type="dxa"/>
              <w:bottom w:w="180" w:type="dxa"/>
              <w:right w:w="200" w:type="dxa"/>
            </w:tcMar>
          </w:tcPr>
          <w:p w14:paraId="5456FAFD" w14:textId="77777777" w:rsidR="00CF1B66" w:rsidRDefault="00994877">
            <w:pPr>
              <w:spacing w:after="8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1696F"/>
                <w:sz w:val="22"/>
              </w:rPr>
              <w:t>Сдержанная государственно-инфраструктурная модель</w:t>
            </w:r>
          </w:p>
          <w:p w14:paraId="27E7B020" w14:textId="77777777" w:rsidR="00CF1B66" w:rsidRDefault="00994877">
            <w:pPr>
              <w:spacing w:line="30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</w:rPr>
              <w:t>I квартал 2026 года формирует инвестиционную модель «сдержанной государственно-инфраструктурной» — с сохранением мегапроектного ядра при фактическом замораживании частного корпоративного инвестцикла. Это не технологическая трансформация (для нее не хватает темпов модернизации и роста доли машин/оборудования) и не государственно-сырьевая модель в чистом виде (доля сырьевого сегмента ограничена ОПЕК+). Это модель адаптации к двойному ограничению: сверхвысокой стоимости капитала и сужающемуся бюджетному пространству.</w:t>
            </w:r>
          </w:p>
        </w:tc>
      </w:tr>
    </w:tbl>
    <w:p w14:paraId="3F497A23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Отличия I кв. 2026 от IV кв. 2025</w:t>
      </w:r>
    </w:p>
    <w:p w14:paraId="00DF6FCE" w14:textId="77777777" w:rsidR="00CF1B66" w:rsidRDefault="00994877">
      <w:pPr>
        <w:spacing w:before="160" w:after="80"/>
        <w:rPr>
          <w:rFonts w:ascii="Arial" w:hAnsi="Arial"/>
        </w:rPr>
      </w:pPr>
      <w:r>
        <w:rPr>
          <w:rFonts w:ascii="Arial" w:hAnsi="Arial"/>
          <w:b/>
          <w:color w:val="01696F"/>
          <w:sz w:val="19"/>
        </w:rPr>
        <w:t xml:space="preserve">Таблица 1. </w:t>
      </w:r>
      <w:r>
        <w:rPr>
          <w:rFonts w:ascii="Arial" w:hAnsi="Arial"/>
          <w:b/>
          <w:color w:val="1A1A1A"/>
          <w:sz w:val="19"/>
        </w:rPr>
        <w:t>Сравнение ключевых параметров IV кв. 2025 vs I кв. 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1900"/>
        <w:gridCol w:w="2700"/>
        <w:gridCol w:w="2446"/>
      </w:tblGrid>
      <w:tr w:rsidR="00CF1B66" w14:paraId="24233C33" w14:textId="77777777">
        <w:trPr>
          <w:tblHeader/>
        </w:trPr>
        <w:tc>
          <w:tcPr>
            <w:tcW w:w="2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D0D235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Параметр</w:t>
            </w:r>
          </w:p>
        </w:tc>
        <w:tc>
          <w:tcPr>
            <w:tcW w:w="19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41D00B6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Q4 2025</w:t>
            </w:r>
          </w:p>
        </w:tc>
        <w:tc>
          <w:tcPr>
            <w:tcW w:w="2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7B13A12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Q1 2026</w:t>
            </w:r>
          </w:p>
        </w:tc>
        <w:tc>
          <w:tcPr>
            <w:tcW w:w="2446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0D8E91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Динамика</w:t>
            </w:r>
          </w:p>
        </w:tc>
      </w:tr>
      <w:tr w:rsidR="00CF1B66" w14:paraId="304E9A48" w14:textId="77777777">
        <w:tc>
          <w:tcPr>
            <w:tcW w:w="27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93D2D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Инвестиции в ОК, % г/г</w:t>
            </w:r>
          </w:p>
        </w:tc>
        <w:tc>
          <w:tcPr>
            <w:tcW w:w="1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3CE095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−5,3</w:t>
            </w:r>
          </w:p>
        </w:tc>
        <w:tc>
          <w:tcPr>
            <w:tcW w:w="27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808A13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−14,3</w:t>
            </w:r>
          </w:p>
        </w:tc>
        <w:tc>
          <w:tcPr>
            <w:tcW w:w="24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3DBB7D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Углубление падения</w:t>
            </w:r>
          </w:p>
        </w:tc>
      </w:tr>
      <w:tr w:rsidR="00CF1B66" w14:paraId="081C3AC0" w14:textId="77777777">
        <w:tc>
          <w:tcPr>
            <w:tcW w:w="27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8176E6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Ключевая ставка ЦБ (на конец квартала)</w:t>
            </w:r>
          </w:p>
        </w:tc>
        <w:tc>
          <w:tcPr>
            <w:tcW w:w="1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BB3EFA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16,0%</w:t>
            </w:r>
          </w:p>
        </w:tc>
        <w:tc>
          <w:tcPr>
            <w:tcW w:w="27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6BEC76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15,0% (март)</w:t>
            </w:r>
          </w:p>
        </w:tc>
        <w:tc>
          <w:tcPr>
            <w:tcW w:w="24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5B5D6E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Смягчение</w:t>
            </w:r>
          </w:p>
        </w:tc>
      </w:tr>
      <w:tr w:rsidR="00CF1B66" w14:paraId="7F5880E3" w14:textId="77777777">
        <w:tc>
          <w:tcPr>
            <w:tcW w:w="27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069FE8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ИБК ЦБ (на конец квартала)</w:t>
            </w:r>
          </w:p>
        </w:tc>
        <w:tc>
          <w:tcPr>
            <w:tcW w:w="1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315E0D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2,6 п.</w:t>
            </w:r>
          </w:p>
        </w:tc>
        <w:tc>
          <w:tcPr>
            <w:tcW w:w="27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F1D93C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B85C00"/>
                <w:sz w:val="19"/>
              </w:rPr>
              <w:t>−0,1</w:t>
            </w:r>
          </w:p>
        </w:tc>
        <w:tc>
          <w:tcPr>
            <w:tcW w:w="24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27BBB3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Снижение</w:t>
            </w:r>
          </w:p>
        </w:tc>
      </w:tr>
      <w:tr w:rsidR="00CF1B66" w14:paraId="5C419FD4" w14:textId="77777777">
        <w:tc>
          <w:tcPr>
            <w:tcW w:w="27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5593E2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PMI обработки (на конец квартала)</w:t>
            </w:r>
          </w:p>
        </w:tc>
        <w:tc>
          <w:tcPr>
            <w:tcW w:w="1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16EBB0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48,1</w:t>
            </w:r>
          </w:p>
        </w:tc>
        <w:tc>
          <w:tcPr>
            <w:tcW w:w="27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5CADAF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48,3</w:t>
            </w:r>
          </w:p>
        </w:tc>
        <w:tc>
          <w:tcPr>
            <w:tcW w:w="24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7FE35A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B85C00"/>
                <w:sz w:val="19"/>
              </w:rPr>
              <w:t>Стабилизация</w:t>
            </w:r>
          </w:p>
        </w:tc>
      </w:tr>
      <w:tr w:rsidR="00CF1B66" w14:paraId="11AA6BE9" w14:textId="77777777">
        <w:tc>
          <w:tcPr>
            <w:tcW w:w="27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9D6154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ВВП, % г/г</w:t>
            </w:r>
          </w:p>
        </w:tc>
        <w:tc>
          <w:tcPr>
            <w:tcW w:w="1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ABC123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+1</w:t>
            </w:r>
          </w:p>
        </w:tc>
        <w:tc>
          <w:tcPr>
            <w:tcW w:w="27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1D2B98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-0,2</w:t>
            </w:r>
          </w:p>
        </w:tc>
        <w:tc>
          <w:tcPr>
            <w:tcW w:w="24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1E0B75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Снижение</w:t>
            </w:r>
          </w:p>
        </w:tc>
      </w:tr>
      <w:tr w:rsidR="00CF1B66" w14:paraId="39B78D48" w14:textId="77777777">
        <w:tc>
          <w:tcPr>
            <w:tcW w:w="27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FA8C68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Промпроизводство, % г/г</w:t>
            </w:r>
          </w:p>
        </w:tc>
        <w:tc>
          <w:tcPr>
            <w:tcW w:w="1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E9458E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+2,3</w:t>
            </w:r>
          </w:p>
        </w:tc>
        <w:tc>
          <w:tcPr>
            <w:tcW w:w="27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1E0EE8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B85C00"/>
                <w:sz w:val="19"/>
              </w:rPr>
              <w:t>+0,3</w:t>
            </w:r>
          </w:p>
        </w:tc>
        <w:tc>
          <w:tcPr>
            <w:tcW w:w="24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2ECE92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B85C00"/>
                <w:sz w:val="19"/>
              </w:rPr>
              <w:t>Замедление</w:t>
            </w:r>
          </w:p>
        </w:tc>
      </w:tr>
      <w:tr w:rsidR="00CF1B66" w14:paraId="2173C5CC" w14:textId="77777777">
        <w:tc>
          <w:tcPr>
            <w:tcW w:w="27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B3DF9E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НДС (базовая ставка)</w:t>
            </w:r>
          </w:p>
        </w:tc>
        <w:tc>
          <w:tcPr>
            <w:tcW w:w="1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968FC7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20%</w:t>
            </w:r>
          </w:p>
        </w:tc>
        <w:tc>
          <w:tcPr>
            <w:tcW w:w="27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16CE43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22% (с 01.01.2026)</w:t>
            </w:r>
          </w:p>
        </w:tc>
        <w:tc>
          <w:tcPr>
            <w:tcW w:w="24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F3BBAE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Повышение</w:t>
            </w:r>
          </w:p>
        </w:tc>
      </w:tr>
    </w:tbl>
    <w:p w14:paraId="7177F6CE" w14:textId="77777777" w:rsidR="00CF1B66" w:rsidRDefault="00994877">
      <w:pPr>
        <w:spacing w:before="40" w:after="200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>Источник: Росстат, Банк России, ВЭБ.РФ, S&amp;P Global, Минфин</w:t>
      </w:r>
    </w:p>
    <w:p w14:paraId="22441E0F" w14:textId="72482343" w:rsidR="00CF1B66" w:rsidRDefault="00994877">
      <w:pPr>
        <w:spacing w:after="100" w:line="300" w:lineRule="auto"/>
        <w:jc w:val="both"/>
        <w:rPr>
          <w:rFonts w:ascii="Arial" w:hAnsi="Arial"/>
          <w:color w:val="1A1A1A"/>
        </w:rPr>
      </w:pPr>
      <w:r>
        <w:rPr>
          <w:rFonts w:ascii="Arial" w:hAnsi="Arial"/>
          <w:color w:val="1A1A1A"/>
        </w:rPr>
        <w:t xml:space="preserve">Переход к отрицательной динамике ВВП в Q1 2026 г. (−0,2% г/г) объясняется </w:t>
      </w:r>
      <w:r w:rsidR="001A61D6">
        <w:rPr>
          <w:rFonts w:ascii="Arial" w:hAnsi="Arial"/>
          <w:color w:val="1A1A1A"/>
        </w:rPr>
        <w:t>как</w:t>
      </w:r>
      <w:r>
        <w:rPr>
          <w:rFonts w:ascii="Arial" w:hAnsi="Arial"/>
          <w:color w:val="1A1A1A"/>
        </w:rPr>
        <w:t xml:space="preserve"> разовыми факторами: календарным эффектом (−9 рабочих дней) и неблагоприятными погодными условиями (зима, осложнившая стройку и логистику</w:t>
      </w:r>
      <w:r w:rsidR="001A61D6">
        <w:rPr>
          <w:rFonts w:ascii="Arial" w:hAnsi="Arial"/>
          <w:color w:val="1A1A1A"/>
        </w:rPr>
        <w:t xml:space="preserve"> -</w:t>
      </w:r>
      <w:r>
        <w:rPr>
          <w:rFonts w:ascii="Arial" w:hAnsi="Arial"/>
          <w:color w:val="1A1A1A"/>
        </w:rPr>
        <w:t xml:space="preserve"> </w:t>
      </w:r>
      <w:r w:rsidR="001A61D6">
        <w:rPr>
          <w:rFonts w:ascii="Arial" w:hAnsi="Arial"/>
          <w:color w:val="1A1A1A"/>
        </w:rPr>
        <w:t>б</w:t>
      </w:r>
      <w:r>
        <w:rPr>
          <w:rFonts w:ascii="Arial" w:hAnsi="Arial"/>
          <w:color w:val="1A1A1A"/>
        </w:rPr>
        <w:t>ез их учета экономика, вероятно, показала бы стагнацию</w:t>
      </w:r>
      <w:r w:rsidR="001A61D6">
        <w:rPr>
          <w:rFonts w:ascii="Arial" w:hAnsi="Arial"/>
          <w:color w:val="1A1A1A"/>
        </w:rPr>
        <w:t>), так и объективным падением потребления (инвестиционных и строительных товаров, потребительских товаров длительного пользования) и инвестиций</w:t>
      </w:r>
      <w:r>
        <w:rPr>
          <w:rFonts w:ascii="Arial" w:hAnsi="Arial"/>
          <w:color w:val="1A1A1A"/>
        </w:rPr>
        <w:t xml:space="preserve">. Восстановление в марте–апреле (ИБК +2,2 в апреле, промпроизводство +2,3% в марте) </w:t>
      </w:r>
      <w:r w:rsidR="001A61D6">
        <w:rPr>
          <w:rFonts w:ascii="Arial" w:hAnsi="Arial"/>
          <w:color w:val="1A1A1A"/>
        </w:rPr>
        <w:t xml:space="preserve">хотя и может </w:t>
      </w:r>
      <w:r>
        <w:rPr>
          <w:rFonts w:ascii="Arial" w:hAnsi="Arial"/>
          <w:color w:val="1A1A1A"/>
        </w:rPr>
        <w:t>указыва</w:t>
      </w:r>
      <w:r w:rsidR="001A61D6">
        <w:rPr>
          <w:rFonts w:ascii="Arial" w:hAnsi="Arial"/>
          <w:color w:val="1A1A1A"/>
        </w:rPr>
        <w:t>ть</w:t>
      </w:r>
      <w:r>
        <w:rPr>
          <w:rFonts w:ascii="Arial" w:hAnsi="Arial"/>
          <w:color w:val="1A1A1A"/>
        </w:rPr>
        <w:t xml:space="preserve"> на временный характер квартального провала, но </w:t>
      </w:r>
      <w:r w:rsidR="001A61D6">
        <w:rPr>
          <w:rFonts w:ascii="Arial" w:hAnsi="Arial"/>
          <w:color w:val="1A1A1A"/>
        </w:rPr>
        <w:t>не формирует</w:t>
      </w:r>
      <w:r>
        <w:rPr>
          <w:rFonts w:ascii="Arial" w:hAnsi="Arial"/>
          <w:color w:val="1A1A1A"/>
        </w:rPr>
        <w:t xml:space="preserve"> устойчив</w:t>
      </w:r>
      <w:r w:rsidR="001A61D6">
        <w:rPr>
          <w:rFonts w:ascii="Arial" w:hAnsi="Arial"/>
          <w:color w:val="1A1A1A"/>
        </w:rPr>
        <w:t>ый</w:t>
      </w:r>
      <w:r>
        <w:rPr>
          <w:rFonts w:ascii="Arial" w:hAnsi="Arial"/>
          <w:color w:val="1A1A1A"/>
        </w:rPr>
        <w:t xml:space="preserve"> разворот тренда.</w:t>
      </w:r>
    </w:p>
    <w:p w14:paraId="2A41DFD2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Драйверы и риски II кв. 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CF1B66" w14:paraId="31B372E2" w14:textId="77777777">
        <w:trPr>
          <w:tblHeader/>
        </w:trPr>
        <w:tc>
          <w:tcPr>
            <w:tcW w:w="4873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F7B3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C3441DF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ДРАЙВЕРЫ II кв. 2026</w:t>
            </w:r>
          </w:p>
        </w:tc>
        <w:tc>
          <w:tcPr>
            <w:tcW w:w="4873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8B1E1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BCFE5E6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РИСКИ II кв. 2026</w:t>
            </w:r>
          </w:p>
        </w:tc>
      </w:tr>
      <w:tr w:rsidR="00CF1B66" w14:paraId="1C5E0DC6" w14:textId="77777777">
        <w:tc>
          <w:tcPr>
            <w:tcW w:w="4873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0F7EF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4C4B2922" w14:textId="77777777" w:rsidR="00CF1B66" w:rsidRDefault="00994877">
            <w:pPr>
              <w:spacing w:after="10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F7B3F"/>
                <w:sz w:val="20"/>
              </w:rPr>
              <w:t xml:space="preserve">Продолжение снижения ставки ЦБ. </w:t>
            </w:r>
            <w:r>
              <w:rPr>
                <w:rFonts w:ascii="Arial" w:hAnsi="Arial"/>
                <w:color w:val="1A1A1A"/>
                <w:sz w:val="20"/>
              </w:rPr>
              <w:t>Прогноз на конец 2026 — 11,5–14% (консенсус); лаговый эффект на инвестиции проявится в III–IV кв. 2026 г.</w:t>
            </w:r>
          </w:p>
          <w:p w14:paraId="7A75DFCE" w14:textId="77777777" w:rsidR="00CF1B66" w:rsidRDefault="00994877">
            <w:pPr>
              <w:spacing w:after="10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F7B3F"/>
                <w:sz w:val="20"/>
              </w:rPr>
              <w:lastRenderedPageBreak/>
              <w:t xml:space="preserve">Авансирование госрасходов. </w:t>
            </w:r>
            <w:r>
              <w:rPr>
                <w:rFonts w:ascii="Arial" w:hAnsi="Arial"/>
                <w:color w:val="1A1A1A"/>
                <w:sz w:val="20"/>
              </w:rPr>
              <w:t>Активное исполнение федерального бюджета поддерживает смежные отрасли.</w:t>
            </w:r>
          </w:p>
          <w:p w14:paraId="1717D59A" w14:textId="77777777" w:rsidR="00CF1B66" w:rsidRDefault="00994877">
            <w:pPr>
              <w:spacing w:after="10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F7B3F"/>
                <w:sz w:val="20"/>
              </w:rPr>
              <w:t xml:space="preserve">Положительный календарный эффект. </w:t>
            </w:r>
            <w:r>
              <w:rPr>
                <w:rFonts w:ascii="Arial" w:hAnsi="Arial"/>
                <w:color w:val="1A1A1A"/>
                <w:sz w:val="20"/>
              </w:rPr>
              <w:t>+3 рабочих дня в II кв. 2026 относительно II кв. 2025.</w:t>
            </w:r>
          </w:p>
          <w:p w14:paraId="086A40DA" w14:textId="77777777" w:rsidR="00CF1B66" w:rsidRDefault="00994877">
            <w:pPr>
              <w:spacing w:after="10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F7B3F"/>
                <w:sz w:val="20"/>
              </w:rPr>
              <w:t xml:space="preserve">Сезонное оживление стройки. </w:t>
            </w:r>
            <w:r>
              <w:rPr>
                <w:rFonts w:ascii="Arial" w:hAnsi="Arial"/>
                <w:color w:val="1A1A1A"/>
                <w:sz w:val="20"/>
              </w:rPr>
              <w:t>Возобновление строительных работ в апреле–мае поддержит ВВП.</w:t>
            </w:r>
          </w:p>
          <w:p w14:paraId="6F469EBE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F7B3F"/>
                <w:sz w:val="20"/>
              </w:rPr>
              <w:t xml:space="preserve">Восстановление ИБК. </w:t>
            </w:r>
            <w:r>
              <w:rPr>
                <w:rFonts w:ascii="Arial" w:hAnsi="Arial"/>
                <w:color w:val="1A1A1A"/>
                <w:sz w:val="20"/>
              </w:rPr>
              <w:t>ЦБ квалифицирует апрельские оценки как приближение к уровням III–IV кв. 2025.</w:t>
            </w:r>
          </w:p>
        </w:tc>
        <w:tc>
          <w:tcPr>
            <w:tcW w:w="4873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AF1F0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0344DE08" w14:textId="77777777" w:rsidR="00CF1B66" w:rsidRDefault="00994877">
            <w:pPr>
              <w:spacing w:after="10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8B1E1E"/>
                <w:sz w:val="20"/>
              </w:rPr>
              <w:lastRenderedPageBreak/>
              <w:t xml:space="preserve">Сохранение ставки выше нейтрального уровня. </w:t>
            </w:r>
            <w:r>
              <w:rPr>
                <w:rFonts w:ascii="Arial" w:hAnsi="Arial"/>
                <w:color w:val="1A1A1A"/>
                <w:sz w:val="20"/>
              </w:rPr>
              <w:t>При проинфляционных внешних шоках цикл смягчения может быть приостановлен.</w:t>
            </w:r>
          </w:p>
          <w:p w14:paraId="040687E4" w14:textId="77777777" w:rsidR="00CF1B66" w:rsidRDefault="00994877">
            <w:pPr>
              <w:spacing w:after="10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8B1E1E"/>
                <w:sz w:val="20"/>
              </w:rPr>
              <w:lastRenderedPageBreak/>
              <w:t xml:space="preserve">Бюджетные ограничения и мораторий ФНБ. </w:t>
            </w:r>
            <w:r>
              <w:rPr>
                <w:rFonts w:ascii="Arial" w:hAnsi="Arial"/>
                <w:color w:val="1A1A1A"/>
                <w:sz w:val="20"/>
              </w:rPr>
              <w:t>Госинвестимпульс ограничен необходимостью покрывать дефицит бюджета.</w:t>
            </w:r>
          </w:p>
          <w:p w14:paraId="0997E50A" w14:textId="0B67E5D6" w:rsidR="00CF1B66" w:rsidRDefault="00994877">
            <w:pPr>
              <w:spacing w:after="10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8B1E1E"/>
                <w:sz w:val="20"/>
              </w:rPr>
              <w:t xml:space="preserve">Снижение прибыли предприятий. </w:t>
            </w:r>
            <w:r>
              <w:rPr>
                <w:rFonts w:ascii="Arial" w:hAnsi="Arial"/>
                <w:color w:val="1A1A1A"/>
                <w:sz w:val="20"/>
              </w:rPr>
              <w:t>Сальдированный финрезультат −3,9% в 2025 г.</w:t>
            </w:r>
            <w:r w:rsidR="001A61D6">
              <w:rPr>
                <w:rFonts w:ascii="Arial" w:hAnsi="Arial"/>
                <w:color w:val="1A1A1A"/>
                <w:sz w:val="20"/>
              </w:rPr>
              <w:t>, -26,5% в январе-апреле 2026</w:t>
            </w:r>
            <w:r>
              <w:rPr>
                <w:rFonts w:ascii="Arial" w:hAnsi="Arial"/>
                <w:color w:val="1A1A1A"/>
                <w:sz w:val="20"/>
              </w:rPr>
              <w:t xml:space="preserve"> ограничивает самофинансирование.</w:t>
            </w:r>
          </w:p>
          <w:p w14:paraId="233A6560" w14:textId="77777777" w:rsidR="00CF1B66" w:rsidRDefault="00994877">
            <w:pPr>
              <w:spacing w:after="10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8B1E1E"/>
                <w:sz w:val="20"/>
              </w:rPr>
              <w:t xml:space="preserve">Конкуренция с депозитами. </w:t>
            </w:r>
            <w:r>
              <w:rPr>
                <w:rFonts w:ascii="Arial" w:hAnsi="Arial"/>
                <w:color w:val="1A1A1A"/>
                <w:sz w:val="20"/>
              </w:rPr>
              <w:t>Ставки по депозитам удерживают капитал в финансовых активах вместо реальных инвестиций.</w:t>
            </w:r>
          </w:p>
          <w:p w14:paraId="124FD9AA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8B1E1E"/>
                <w:sz w:val="20"/>
              </w:rPr>
              <w:t xml:space="preserve">Геополитическая неопределенность. </w:t>
            </w:r>
            <w:r>
              <w:rPr>
                <w:rFonts w:ascii="Arial" w:hAnsi="Arial"/>
                <w:color w:val="1A1A1A"/>
                <w:sz w:val="20"/>
              </w:rPr>
              <w:t>Волатильность цен на нефть и санкционные ограничения сохраняются.</w:t>
            </w:r>
          </w:p>
        </w:tc>
      </w:tr>
    </w:tbl>
    <w:p w14:paraId="5F43358D" w14:textId="77777777" w:rsidR="00CF1B66" w:rsidRDefault="00CF1B66">
      <w:pPr>
        <w:spacing w:before="240"/>
        <w:rPr>
          <w:rFonts w:ascii="Arial" w:hAnsi="Arial"/>
        </w:rPr>
      </w:pPr>
    </w:p>
    <w:p w14:paraId="306A4D26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Базовый сценарий II кв. 2026</w:t>
      </w:r>
    </w:p>
    <w:p w14:paraId="791E65FF" w14:textId="1D08F681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 xml:space="preserve">С учетом смягчения ДКП, авансирования госрасходов, позитивного календарного эффекта и сезонного восстановления стройки </w:t>
      </w:r>
      <w:r w:rsidR="001A61D6">
        <w:rPr>
          <w:rFonts w:ascii="Arial" w:hAnsi="Arial"/>
          <w:color w:val="1A1A1A"/>
        </w:rPr>
        <w:t>относительно</w:t>
      </w:r>
      <w:r>
        <w:rPr>
          <w:rFonts w:ascii="Arial" w:hAnsi="Arial"/>
          <w:color w:val="1A1A1A"/>
        </w:rPr>
        <w:t xml:space="preserve"> вероятным является переход к нулевой или слабоположительной динамике инвестиций (диапазон −2% — +1% г/г) во II квартале 2026 г. Возможен рост ИБК в зону +3–+5 п., возврат PMI обработки к 49–50 п. Полноценное возобновление инвестиционного роста (+3% г/г и выше) ожидается не ранее IV квартала 2026 г. при условии устойчивого снижения ключевой ставки и стабилизации бюджетных параметров.</w:t>
      </w:r>
    </w:p>
    <w:p w14:paraId="1E3BD483" w14:textId="77777777" w:rsidR="00CF1B66" w:rsidRDefault="00CF1B66">
      <w:pPr>
        <w:spacing w:after="100" w:line="300" w:lineRule="auto"/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CF1B66" w14:paraId="000B5061" w14:textId="77777777">
        <w:tc>
          <w:tcPr>
            <w:tcW w:w="9746" w:type="dxa"/>
            <w:tcBorders>
              <w:top w:val="single" w:sz="8" w:space="0" w:color="01696F"/>
              <w:left w:val="single" w:sz="24" w:space="0" w:color="01696F"/>
              <w:bottom w:val="single" w:sz="4" w:space="0" w:color="01696F"/>
              <w:right w:val="single" w:sz="4" w:space="0" w:color="01696F"/>
            </w:tcBorders>
            <w:shd w:val="clear" w:color="auto" w:fill="F7F4ED"/>
            <w:tcMar>
              <w:top w:w="180" w:type="dxa"/>
              <w:left w:w="240" w:type="dxa"/>
              <w:bottom w:w="180" w:type="dxa"/>
              <w:right w:w="200" w:type="dxa"/>
            </w:tcMar>
          </w:tcPr>
          <w:p w14:paraId="78545637" w14:textId="77777777" w:rsidR="00CF1B66" w:rsidRDefault="00994877">
            <w:pPr>
              <w:spacing w:after="8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1696F"/>
                <w:sz w:val="22"/>
              </w:rPr>
              <w:t>Ограничения данных</w:t>
            </w:r>
          </w:p>
          <w:p w14:paraId="567C77C3" w14:textId="77777777" w:rsidR="00CF1B66" w:rsidRDefault="00994877">
            <w:pPr>
              <w:spacing w:line="30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</w:rPr>
              <w:t>В отчете используются: данные Росстата, оценки ВЭБ.РФ, оперативные сигналы ЦБ РФ (Резюме обсуждения ключевой ставки, 7 мая 2026), мониторинг предприятий ЦБ, индексы PMI (S&amp;P Global), RSBI (ПСБ/«Опора России»), индекс деловой среды РСПП, конъюнктурные опросы ИНП РАН и ЦМАКП. Все предварительные оценки отмечены.</w:t>
            </w:r>
          </w:p>
        </w:tc>
      </w:tr>
    </w:tbl>
    <w:p w14:paraId="4D17593A" w14:textId="77777777" w:rsidR="00CF1B66" w:rsidRDefault="00994877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13C6E48F" w14:textId="77777777" w:rsidR="00CF1B66" w:rsidRDefault="00994877">
      <w:pPr>
        <w:pStyle w:val="10"/>
        <w:rPr>
          <w:rFonts w:ascii="Arial" w:hAnsi="Arial"/>
        </w:rPr>
      </w:pPr>
      <w:r>
        <w:rPr>
          <w:rFonts w:ascii="Arial" w:hAnsi="Arial"/>
        </w:rPr>
        <w:lastRenderedPageBreak/>
        <w:t>Блок 1. Инвестиции как индикатор состояния экономики</w:t>
      </w:r>
    </w:p>
    <w:p w14:paraId="503B04EF" w14:textId="77777777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 xml:space="preserve">Российская экономика подошла к I кварталу 2026 года с накопленной инвестиционной слабостью. По итогам 2025 года, после уточнения Росстата 6 марта 2026 г., инвестиции в основной капитал сократились в реальном выражении на </w:t>
      </w:r>
      <w:r>
        <w:rPr>
          <w:rFonts w:ascii="Arial" w:hAnsi="Arial"/>
          <w:b/>
          <w:color w:val="1A1A1A"/>
        </w:rPr>
        <w:t>2,3%</w:t>
      </w:r>
      <w:r>
        <w:rPr>
          <w:rFonts w:ascii="Arial" w:hAnsi="Arial"/>
          <w:color w:val="1A1A1A"/>
        </w:rPr>
        <w:t xml:space="preserve"> — первое годовое снижение с 2020 г. В номинальных ценах объем вложений достиг 42,64 трлн руб. (+6,8% к 2024 г.), что при дефляторе около 9,4% соответствует реальному спаду. Спад начался во II квартале 2025 г. и непрерывно усиливался до конца года. По итогам I кв. 2026 падение составила –</w:t>
      </w:r>
      <w:r>
        <w:rPr>
          <w:rFonts w:ascii="Arial" w:hAnsi="Arial"/>
          <w:b/>
          <w:color w:val="1A1A1A"/>
        </w:rPr>
        <w:t>14,3% г/г</w:t>
      </w:r>
      <w:r>
        <w:rPr>
          <w:rFonts w:ascii="Arial" w:hAnsi="Arial"/>
          <w:color w:val="1A1A1A"/>
        </w:rPr>
        <w:t>, что указывает на усиление нисходящей траектории.</w:t>
      </w:r>
    </w:p>
    <w:p w14:paraId="03392D81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Динамика инвестиций: десятилетний контекст</w:t>
      </w:r>
    </w:p>
    <w:p w14:paraId="439357D3" w14:textId="77777777" w:rsidR="00CF1B66" w:rsidRDefault="00994877">
      <w:pPr>
        <w:spacing w:before="160" w:after="80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4E650108" wp14:editId="13E56A59">
            <wp:extent cx="3725333" cy="2274306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725333" cy="227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D08B5" w14:textId="77777777" w:rsidR="00CF1B66" w:rsidRDefault="00994877">
      <w:pPr>
        <w:spacing w:after="60"/>
        <w:jc w:val="center"/>
        <w:rPr>
          <w:rFonts w:ascii="Arial" w:hAnsi="Arial"/>
        </w:rPr>
      </w:pPr>
      <w:r>
        <w:rPr>
          <w:rFonts w:ascii="Arial" w:hAnsi="Arial"/>
          <w:b/>
          <w:i/>
          <w:color w:val="5A5A5A"/>
          <w:sz w:val="18"/>
        </w:rPr>
        <w:t>Рисунок 1. Динамика инвестиций в основной капитал России, 2016–2025 (% к предыдущему году, реальные сопоставимые цены)</w:t>
      </w:r>
    </w:p>
    <w:p w14:paraId="5163C412" w14:textId="77777777" w:rsidR="00CF1B66" w:rsidRDefault="00994877">
      <w:pPr>
        <w:spacing w:after="200" w:line="300" w:lineRule="auto"/>
        <w:jc w:val="center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>Источник: Росстат (уточненные данные на 06.03.2026).</w:t>
      </w:r>
    </w:p>
    <w:p w14:paraId="7B65C8D7" w14:textId="7C28AA17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>Десятилетняя ретроспектива выделяет три фазы инвестиционного цикла. Фаза стагнации 2015–2020 гг. сменилась периодом ускоренного роста 2021–2024 гг.</w:t>
      </w:r>
      <w:r w:rsidR="001A61D6">
        <w:rPr>
          <w:rFonts w:ascii="Arial" w:hAnsi="Arial"/>
          <w:color w:val="1A1A1A"/>
        </w:rPr>
        <w:t xml:space="preserve"> Количественный</w:t>
      </w:r>
      <w:r>
        <w:rPr>
          <w:rFonts w:ascii="Arial" w:hAnsi="Arial"/>
          <w:color w:val="1A1A1A"/>
        </w:rPr>
        <w:t xml:space="preserve"> </w:t>
      </w:r>
      <w:r w:rsidR="001A61D6">
        <w:rPr>
          <w:rFonts w:ascii="Arial" w:hAnsi="Arial"/>
          <w:color w:val="1A1A1A"/>
        </w:rPr>
        <w:t>б</w:t>
      </w:r>
      <w:r>
        <w:rPr>
          <w:rFonts w:ascii="Arial" w:hAnsi="Arial"/>
          <w:color w:val="1A1A1A"/>
        </w:rPr>
        <w:t>ум был связан с фронтальной адаптацией экономики к санкциям, форсированным импортозамещением, выполнением госконтрактов и расширением инфраструктурных строек. С 2025 г. начинается фаза охлаждения: эффект высокой базы, переход ЦБ к сверхжесткой ДКП (пик ключевой ставки 21%, достигнутый в конце 2024 г.) и сужение бюджетного импульса сформировали условия для отрицательной динамики.</w:t>
      </w:r>
    </w:p>
    <w:p w14:paraId="0AD6EC4D" w14:textId="77777777" w:rsidR="00CF1B66" w:rsidRDefault="00994877">
      <w:pPr>
        <w:spacing w:before="160" w:after="80"/>
        <w:rPr>
          <w:rFonts w:ascii="Arial" w:hAnsi="Arial"/>
        </w:rPr>
      </w:pPr>
      <w:r>
        <w:rPr>
          <w:rFonts w:ascii="Arial" w:hAnsi="Arial"/>
          <w:b/>
          <w:color w:val="01696F"/>
          <w:sz w:val="19"/>
        </w:rPr>
        <w:t xml:space="preserve">Таблица 1.1. </w:t>
      </w:r>
      <w:r>
        <w:rPr>
          <w:rFonts w:ascii="Arial" w:hAnsi="Arial"/>
          <w:b/>
          <w:color w:val="1A1A1A"/>
          <w:sz w:val="19"/>
        </w:rPr>
        <w:t>Инвестиции в основной капитал России, 2016–2025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3900"/>
        <w:gridCol w:w="3897"/>
      </w:tblGrid>
      <w:tr w:rsidR="00CF1B66" w14:paraId="2F39E32E" w14:textId="77777777">
        <w:trPr>
          <w:tblHeader/>
        </w:trPr>
        <w:tc>
          <w:tcPr>
            <w:tcW w:w="1949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33F3C0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Год</w:t>
            </w:r>
          </w:p>
        </w:tc>
        <w:tc>
          <w:tcPr>
            <w:tcW w:w="39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E1B0C47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Номинал, трлн руб.</w:t>
            </w:r>
          </w:p>
        </w:tc>
        <w:tc>
          <w:tcPr>
            <w:tcW w:w="3897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EB2DF9F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Динамика, % г/г (сопоставимые цены)</w:t>
            </w:r>
          </w:p>
        </w:tc>
      </w:tr>
      <w:tr w:rsidR="00CF1B66" w14:paraId="356BF0E7" w14:textId="77777777">
        <w:tc>
          <w:tcPr>
            <w:tcW w:w="194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CD1E79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2016</w:t>
            </w:r>
          </w:p>
        </w:tc>
        <w:tc>
          <w:tcPr>
            <w:tcW w:w="3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16DBBB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14,7</w:t>
            </w:r>
          </w:p>
        </w:tc>
        <w:tc>
          <w:tcPr>
            <w:tcW w:w="389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F84B42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-0,2</w:t>
            </w:r>
          </w:p>
        </w:tc>
      </w:tr>
      <w:tr w:rsidR="00CF1B66" w14:paraId="2CF008A8" w14:textId="77777777">
        <w:tc>
          <w:tcPr>
            <w:tcW w:w="194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05A42A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2017</w:t>
            </w:r>
          </w:p>
        </w:tc>
        <w:tc>
          <w:tcPr>
            <w:tcW w:w="3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77955B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16,0</w:t>
            </w:r>
          </w:p>
        </w:tc>
        <w:tc>
          <w:tcPr>
            <w:tcW w:w="389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A9A371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+4,8</w:t>
            </w:r>
          </w:p>
        </w:tc>
      </w:tr>
      <w:tr w:rsidR="00CF1B66" w14:paraId="363B6203" w14:textId="77777777">
        <w:tc>
          <w:tcPr>
            <w:tcW w:w="194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88F05F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2018</w:t>
            </w:r>
          </w:p>
        </w:tc>
        <w:tc>
          <w:tcPr>
            <w:tcW w:w="3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7A301A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17,8</w:t>
            </w:r>
          </w:p>
        </w:tc>
        <w:tc>
          <w:tcPr>
            <w:tcW w:w="389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9402C7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+5,4</w:t>
            </w:r>
          </w:p>
        </w:tc>
      </w:tr>
      <w:tr w:rsidR="00CF1B66" w14:paraId="659C193C" w14:textId="77777777">
        <w:tc>
          <w:tcPr>
            <w:tcW w:w="194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2BDF23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2019</w:t>
            </w:r>
          </w:p>
        </w:tc>
        <w:tc>
          <w:tcPr>
            <w:tcW w:w="3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1C1794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19,3</w:t>
            </w:r>
          </w:p>
        </w:tc>
        <w:tc>
          <w:tcPr>
            <w:tcW w:w="389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C18F1C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+2,1</w:t>
            </w:r>
          </w:p>
        </w:tc>
      </w:tr>
      <w:tr w:rsidR="00CF1B66" w14:paraId="1210284C" w14:textId="77777777">
        <w:tc>
          <w:tcPr>
            <w:tcW w:w="194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80FA80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2020</w:t>
            </w:r>
          </w:p>
        </w:tc>
        <w:tc>
          <w:tcPr>
            <w:tcW w:w="3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16C2F6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20,4</w:t>
            </w:r>
          </w:p>
        </w:tc>
        <w:tc>
          <w:tcPr>
            <w:tcW w:w="389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4235A1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−0,1</w:t>
            </w:r>
          </w:p>
        </w:tc>
      </w:tr>
      <w:tr w:rsidR="00CF1B66" w14:paraId="485DDAB3" w14:textId="77777777">
        <w:tc>
          <w:tcPr>
            <w:tcW w:w="194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E6B80A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2021</w:t>
            </w:r>
          </w:p>
        </w:tc>
        <w:tc>
          <w:tcPr>
            <w:tcW w:w="3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F1598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23,2</w:t>
            </w:r>
          </w:p>
        </w:tc>
        <w:tc>
          <w:tcPr>
            <w:tcW w:w="389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5C70BC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+8,6</w:t>
            </w:r>
          </w:p>
        </w:tc>
      </w:tr>
      <w:tr w:rsidR="00CF1B66" w14:paraId="2CE4F28C" w14:textId="77777777">
        <w:tc>
          <w:tcPr>
            <w:tcW w:w="194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9BEF5A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2022</w:t>
            </w:r>
          </w:p>
        </w:tc>
        <w:tc>
          <w:tcPr>
            <w:tcW w:w="3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3A1FDF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28,4</w:t>
            </w:r>
          </w:p>
        </w:tc>
        <w:tc>
          <w:tcPr>
            <w:tcW w:w="389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E56F1F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+6,7</w:t>
            </w:r>
          </w:p>
        </w:tc>
      </w:tr>
      <w:tr w:rsidR="00CF1B66" w14:paraId="4DF892B3" w14:textId="77777777">
        <w:tc>
          <w:tcPr>
            <w:tcW w:w="194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39A91E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lastRenderedPageBreak/>
              <w:t>2023</w:t>
            </w:r>
          </w:p>
        </w:tc>
        <w:tc>
          <w:tcPr>
            <w:tcW w:w="3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19CFF2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34,0</w:t>
            </w:r>
          </w:p>
        </w:tc>
        <w:tc>
          <w:tcPr>
            <w:tcW w:w="389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4B4DE7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+9,8</w:t>
            </w:r>
          </w:p>
        </w:tc>
      </w:tr>
      <w:tr w:rsidR="00CF1B66" w14:paraId="2163853D" w14:textId="77777777">
        <w:tc>
          <w:tcPr>
            <w:tcW w:w="194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20B990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2024</w:t>
            </w:r>
          </w:p>
        </w:tc>
        <w:tc>
          <w:tcPr>
            <w:tcW w:w="3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BAFAB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39,9</w:t>
            </w:r>
          </w:p>
        </w:tc>
        <w:tc>
          <w:tcPr>
            <w:tcW w:w="389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0EEB3E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+8,4</w:t>
            </w:r>
          </w:p>
        </w:tc>
      </w:tr>
      <w:tr w:rsidR="00CF1B66" w14:paraId="644217D9" w14:textId="77777777">
        <w:tc>
          <w:tcPr>
            <w:tcW w:w="194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FB353A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2025</w:t>
            </w:r>
          </w:p>
        </w:tc>
        <w:tc>
          <w:tcPr>
            <w:tcW w:w="3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35B12A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42,6</w:t>
            </w:r>
          </w:p>
        </w:tc>
        <w:tc>
          <w:tcPr>
            <w:tcW w:w="389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DA497D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8B1E1E"/>
                <w:sz w:val="19"/>
              </w:rPr>
              <w:t>−2,3</w:t>
            </w:r>
          </w:p>
        </w:tc>
      </w:tr>
    </w:tbl>
    <w:p w14:paraId="5699DF0F" w14:textId="77777777" w:rsidR="00CF1B66" w:rsidRDefault="00994877">
      <w:pPr>
        <w:spacing w:before="40" w:after="200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>Источник: Росстат, уточнённые данные на 06.03.2026</w:t>
      </w:r>
    </w:p>
    <w:p w14:paraId="680F2C9F" w14:textId="77777777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 xml:space="preserve">Картина квартальной динамики показывает классический разворот инвестиционного цикла: переход от двузначного роста в I квартале 2024 г. (+14,5%) к устойчивому отрицательному тренду через год. Скорость деградации высока: за четыре квартала индекс прошел диапазон от +6,5% до −14,3% — суммарное снижение 20,8 п.п. Резюме обсуждения ключевой ставки 7 мая 2026 г. </w:t>
      </w:r>
      <w:hyperlink r:id="rId8" w:history="1">
        <w:r>
          <w:rPr>
            <w:rStyle w:val="ac"/>
            <w:rFonts w:ascii="Arial" w:hAnsi="Arial"/>
          </w:rPr>
          <w:t>подтверждает</w:t>
        </w:r>
      </w:hyperlink>
      <w:r>
        <w:rPr>
          <w:rFonts w:ascii="Arial" w:hAnsi="Arial"/>
          <w:color w:val="1A1A1A"/>
        </w:rPr>
        <w:t>: «Инвестиционная активность в 1к26 снизилась».</w:t>
      </w:r>
    </w:p>
    <w:p w14:paraId="292FB85D" w14:textId="77777777" w:rsidR="00CF1B66" w:rsidRDefault="00994877">
      <w:pPr>
        <w:spacing w:before="160" w:after="80"/>
        <w:rPr>
          <w:rFonts w:ascii="Arial" w:hAnsi="Arial"/>
        </w:rPr>
      </w:pPr>
      <w:r>
        <w:rPr>
          <w:rFonts w:ascii="Arial" w:hAnsi="Arial"/>
          <w:b/>
          <w:color w:val="01696F"/>
          <w:sz w:val="19"/>
        </w:rPr>
        <w:t xml:space="preserve">Таблица 1.2. </w:t>
      </w:r>
      <w:r>
        <w:rPr>
          <w:rFonts w:ascii="Arial" w:hAnsi="Arial"/>
          <w:b/>
          <w:color w:val="1A1A1A"/>
          <w:sz w:val="19"/>
        </w:rPr>
        <w:t>Поквартальная динамика инвестиций (% г/г, реальные цены)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2200"/>
      </w:tblGrid>
      <w:tr w:rsidR="00CF1B66" w14:paraId="6C43938D" w14:textId="77777777">
        <w:trPr>
          <w:tblHeader/>
          <w:jc w:val="center"/>
        </w:trPr>
        <w:tc>
          <w:tcPr>
            <w:tcW w:w="15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6C09124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Период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8CE540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Динамика, % г/г</w:t>
            </w:r>
          </w:p>
        </w:tc>
      </w:tr>
      <w:tr w:rsidR="00CF1B66" w14:paraId="774196C9" w14:textId="77777777">
        <w:trPr>
          <w:jc w:val="center"/>
        </w:trPr>
        <w:tc>
          <w:tcPr>
            <w:tcW w:w="15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80771D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I кв. 2025</w:t>
            </w:r>
          </w:p>
        </w:tc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668D26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+6,5</w:t>
            </w:r>
          </w:p>
        </w:tc>
      </w:tr>
      <w:tr w:rsidR="00CF1B66" w14:paraId="79ABFE78" w14:textId="77777777">
        <w:trPr>
          <w:jc w:val="center"/>
        </w:trPr>
        <w:tc>
          <w:tcPr>
            <w:tcW w:w="15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428EC3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II кв. 2025</w:t>
            </w:r>
          </w:p>
        </w:tc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6B9E7D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−1,0</w:t>
            </w:r>
          </w:p>
        </w:tc>
      </w:tr>
      <w:tr w:rsidR="00CF1B66" w14:paraId="36677C71" w14:textId="77777777">
        <w:trPr>
          <w:jc w:val="center"/>
        </w:trPr>
        <w:tc>
          <w:tcPr>
            <w:tcW w:w="15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4E325C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III кв. 2025</w:t>
            </w:r>
          </w:p>
        </w:tc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EEDB80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−4,3</w:t>
            </w:r>
          </w:p>
        </w:tc>
      </w:tr>
      <w:tr w:rsidR="00CF1B66" w14:paraId="051FAF83" w14:textId="77777777">
        <w:trPr>
          <w:jc w:val="center"/>
        </w:trPr>
        <w:tc>
          <w:tcPr>
            <w:tcW w:w="15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1DC4B5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IV кв. 2025</w:t>
            </w:r>
          </w:p>
        </w:tc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101C70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−5,3</w:t>
            </w:r>
          </w:p>
        </w:tc>
      </w:tr>
      <w:tr w:rsidR="00CF1B66" w14:paraId="030CE8B5" w14:textId="77777777">
        <w:trPr>
          <w:jc w:val="center"/>
        </w:trPr>
        <w:tc>
          <w:tcPr>
            <w:tcW w:w="15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9CD842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I кв. 2026</w:t>
            </w:r>
          </w:p>
        </w:tc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212ECB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8B1E1E"/>
                <w:sz w:val="19"/>
              </w:rPr>
              <w:t>−14,3</w:t>
            </w:r>
          </w:p>
        </w:tc>
      </w:tr>
    </w:tbl>
    <w:p w14:paraId="21481BC2" w14:textId="77777777" w:rsidR="00CF1B66" w:rsidRDefault="00994877">
      <w:pPr>
        <w:spacing w:before="40" w:after="200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 xml:space="preserve">Источник: </w:t>
      </w:r>
      <w:hyperlink r:id="rId9" w:history="1">
        <w:r>
          <w:rPr>
            <w:rStyle w:val="ac"/>
            <w:rFonts w:ascii="Arial" w:hAnsi="Arial"/>
            <w:i/>
            <w:sz w:val="17"/>
          </w:rPr>
          <w:t>Росстат</w:t>
        </w:r>
      </w:hyperlink>
      <w:r>
        <w:rPr>
          <w:rFonts w:ascii="Arial" w:hAnsi="Arial"/>
          <w:i/>
          <w:color w:val="5A5A5A"/>
          <w:sz w:val="17"/>
        </w:rPr>
        <w:t xml:space="preserve">, </w:t>
      </w:r>
      <w:hyperlink r:id="rId10" w:history="1">
        <w:r>
          <w:rPr>
            <w:rStyle w:val="ac"/>
            <w:rFonts w:ascii="Arial" w:hAnsi="Arial"/>
            <w:i/>
            <w:sz w:val="17"/>
          </w:rPr>
          <w:t>ВЭБ.РФ</w:t>
        </w:r>
      </w:hyperlink>
      <w:r>
        <w:rPr>
          <w:rFonts w:ascii="Arial" w:hAnsi="Arial"/>
          <w:i/>
          <w:color w:val="5A5A5A"/>
          <w:sz w:val="17"/>
        </w:rPr>
        <w:t xml:space="preserve">, </w:t>
      </w:r>
      <w:hyperlink r:id="rId11" w:history="1">
        <w:r>
          <w:rPr>
            <w:rStyle w:val="ac"/>
            <w:rFonts w:ascii="Arial" w:hAnsi="Arial"/>
            <w:i/>
            <w:sz w:val="17"/>
          </w:rPr>
          <w:t>Банк России</w:t>
        </w:r>
      </w:hyperlink>
    </w:p>
    <w:p w14:paraId="665D9733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Норма накопления и вклад инвестиций в ВВП</w:t>
      </w:r>
    </w:p>
    <w:p w14:paraId="2F7E7970" w14:textId="3137DA88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 xml:space="preserve">По оценкам </w:t>
      </w:r>
      <w:hyperlink r:id="rId12" w:history="1">
        <w:r>
          <w:rPr>
            <w:rStyle w:val="ac"/>
            <w:rFonts w:ascii="Arial" w:hAnsi="Arial"/>
          </w:rPr>
          <w:t>Банка России</w:t>
        </w:r>
      </w:hyperlink>
      <w:r>
        <w:rPr>
          <w:rFonts w:ascii="Arial" w:hAnsi="Arial"/>
          <w:color w:val="1A1A1A"/>
        </w:rPr>
        <w:t>, валовое накопление основного капитала (ВНОК) в 2025 году сократилось на 0,4% г/г (пересмотр относительно первичной оценки Росстата +1,7%), валовое накопление в целом — на 4,9%. ВВП в I кв. 2026 г., по предварительной оценке, сократился на 0,</w:t>
      </w:r>
      <w:r w:rsidR="00BF66C4">
        <w:rPr>
          <w:rFonts w:ascii="Arial" w:hAnsi="Arial"/>
          <w:color w:val="1A1A1A"/>
        </w:rPr>
        <w:t>2</w:t>
      </w:r>
      <w:r>
        <w:rPr>
          <w:rFonts w:ascii="Arial" w:hAnsi="Arial"/>
          <w:color w:val="1A1A1A"/>
        </w:rPr>
        <w:t xml:space="preserve">% г/г — снижение </w:t>
      </w:r>
      <w:r w:rsidR="001A61D6">
        <w:rPr>
          <w:rFonts w:ascii="Arial" w:hAnsi="Arial"/>
          <w:color w:val="1A1A1A"/>
        </w:rPr>
        <w:t>лишь отчасти</w:t>
      </w:r>
      <w:r>
        <w:rPr>
          <w:rFonts w:ascii="Arial" w:hAnsi="Arial"/>
          <w:color w:val="1A1A1A"/>
        </w:rPr>
        <w:t xml:space="preserve"> обусловлено разовыми факторами (−3 рабочих дня к предыдущему году, неблагоприятные погодные условия). Норма накопления (отношение ВНОК к ВВП) находится в диапазоне 23–24% — исторически высоких значениях, отражающих скорее ценовую составляющую (рост стоимости капитальных благ), чем реальное расширение производственной базы.</w:t>
      </w:r>
    </w:p>
    <w:p w14:paraId="22058579" w14:textId="77777777" w:rsidR="00CF1B66" w:rsidRDefault="00994877">
      <w:pPr>
        <w:spacing w:before="160" w:after="80"/>
        <w:rPr>
          <w:rFonts w:ascii="Arial" w:hAnsi="Arial"/>
        </w:rPr>
      </w:pPr>
      <w:r>
        <w:rPr>
          <w:rFonts w:ascii="Arial" w:hAnsi="Arial"/>
          <w:b/>
          <w:color w:val="01696F"/>
          <w:sz w:val="19"/>
        </w:rPr>
        <w:t xml:space="preserve">Таблица 1.3. </w:t>
      </w:r>
      <w:r>
        <w:rPr>
          <w:rFonts w:ascii="Arial" w:hAnsi="Arial"/>
          <w:b/>
          <w:color w:val="1A1A1A"/>
          <w:sz w:val="19"/>
        </w:rPr>
        <w:t>Норма накопления (ВНОК / ВВП), 2021–2026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CF1B66" w14:paraId="7C18285E" w14:textId="77777777">
        <w:trPr>
          <w:tblHeader/>
          <w:jc w:val="center"/>
        </w:trPr>
        <w:tc>
          <w:tcPr>
            <w:tcW w:w="30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8DE26E2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Год</w:t>
            </w:r>
          </w:p>
        </w:tc>
        <w:tc>
          <w:tcPr>
            <w:tcW w:w="30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868139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ВНОК / ВВП, %</w:t>
            </w:r>
          </w:p>
        </w:tc>
      </w:tr>
      <w:tr w:rsidR="00CF1B66" w14:paraId="781C5EF1" w14:textId="77777777">
        <w:trPr>
          <w:jc w:val="center"/>
        </w:trPr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D194FC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2021</w:t>
            </w:r>
          </w:p>
        </w:tc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4D64B0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~21,0</w:t>
            </w:r>
          </w:p>
        </w:tc>
      </w:tr>
      <w:tr w:rsidR="00CF1B66" w14:paraId="1F3789B5" w14:textId="77777777">
        <w:trPr>
          <w:jc w:val="center"/>
        </w:trPr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734DCA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2022</w:t>
            </w:r>
          </w:p>
        </w:tc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C4388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~22,5</w:t>
            </w:r>
          </w:p>
        </w:tc>
      </w:tr>
      <w:tr w:rsidR="00CF1B66" w14:paraId="627597B7" w14:textId="77777777">
        <w:trPr>
          <w:jc w:val="center"/>
        </w:trPr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AA9B4E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2023</w:t>
            </w:r>
          </w:p>
        </w:tc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14BBCE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~23,4</w:t>
            </w:r>
          </w:p>
        </w:tc>
      </w:tr>
      <w:tr w:rsidR="00CF1B66" w14:paraId="3E90EECA" w14:textId="77777777">
        <w:trPr>
          <w:jc w:val="center"/>
        </w:trPr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4A2511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2024</w:t>
            </w:r>
          </w:p>
        </w:tc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7CD1FF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~24,1</w:t>
            </w:r>
          </w:p>
        </w:tc>
      </w:tr>
      <w:tr w:rsidR="00CF1B66" w14:paraId="722A173D" w14:textId="77777777">
        <w:trPr>
          <w:jc w:val="center"/>
        </w:trPr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259C57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2025 (оценка)</w:t>
            </w:r>
          </w:p>
        </w:tc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EB9119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~23,8</w:t>
            </w:r>
          </w:p>
        </w:tc>
      </w:tr>
      <w:tr w:rsidR="00CF1B66" w14:paraId="4270AAC2" w14:textId="77777777">
        <w:trPr>
          <w:jc w:val="center"/>
        </w:trPr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CA70FA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2026 (прогноз)</w:t>
            </w:r>
          </w:p>
        </w:tc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5CFD5E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~22,5 – 23,0</w:t>
            </w:r>
          </w:p>
        </w:tc>
      </w:tr>
    </w:tbl>
    <w:p w14:paraId="7753A35F" w14:textId="77777777" w:rsidR="00CF1B66" w:rsidRDefault="00994877">
      <w:pPr>
        <w:spacing w:before="40" w:after="200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>Источник: Росстат, Банк России</w:t>
      </w:r>
    </w:p>
    <w:p w14:paraId="5EAF7DFA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Прогнозы 2026: расхождение методологий</w:t>
      </w:r>
    </w:p>
    <w:p w14:paraId="0D80D370" w14:textId="77777777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>Институциональные прогнозы на 2026 год заметно расходятся в зависимости от методологии. Минэкономразвития ориентируется на показатель инвестиций в основной капитал по методологии Росстата, ЦБ РФ — на валовое накопление основного капитала в составе ВВП (методология СНС). Это типичное методологическое разнесение: ВНОК шире по охвату (учитывает капитальные ремонты, нематериальные активы в расширительной трактовке), а инвестиции в основной капитал фокусируются на новых вложениях.</w:t>
      </w:r>
    </w:p>
    <w:p w14:paraId="223C2D95" w14:textId="77777777" w:rsidR="00CF1B66" w:rsidRDefault="00994877">
      <w:pPr>
        <w:spacing w:before="160" w:after="80"/>
        <w:rPr>
          <w:rFonts w:ascii="Arial" w:hAnsi="Arial"/>
        </w:rPr>
      </w:pPr>
      <w:r>
        <w:rPr>
          <w:rFonts w:ascii="Arial" w:hAnsi="Arial"/>
          <w:b/>
          <w:color w:val="01696F"/>
          <w:sz w:val="19"/>
        </w:rPr>
        <w:t xml:space="preserve">Таблица 1.4. </w:t>
      </w:r>
      <w:r>
        <w:rPr>
          <w:rFonts w:ascii="Arial" w:hAnsi="Arial"/>
          <w:b/>
          <w:color w:val="1A1A1A"/>
          <w:sz w:val="19"/>
        </w:rPr>
        <w:t>Прогнозы инвестиций на 2026 год от ключевых институтов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8"/>
        <w:gridCol w:w="1691"/>
        <w:gridCol w:w="1496"/>
        <w:gridCol w:w="2388"/>
        <w:gridCol w:w="2133"/>
      </w:tblGrid>
      <w:tr w:rsidR="00CF1B66" w14:paraId="715AECD0" w14:textId="77777777">
        <w:trPr>
          <w:tblHeader/>
        </w:trPr>
        <w:tc>
          <w:tcPr>
            <w:tcW w:w="2038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9AD61F3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Институт</w:t>
            </w:r>
          </w:p>
        </w:tc>
        <w:tc>
          <w:tcPr>
            <w:tcW w:w="1691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93A9A8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Прогноз, % г/г</w:t>
            </w:r>
          </w:p>
        </w:tc>
        <w:tc>
          <w:tcPr>
            <w:tcW w:w="1496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AE0479B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Дата оценки</w:t>
            </w:r>
          </w:p>
        </w:tc>
        <w:tc>
          <w:tcPr>
            <w:tcW w:w="2388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27DA47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Методология</w:t>
            </w:r>
          </w:p>
        </w:tc>
        <w:tc>
          <w:tcPr>
            <w:tcW w:w="2133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EDAEE3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Источник</w:t>
            </w:r>
          </w:p>
        </w:tc>
      </w:tr>
      <w:tr w:rsidR="00CF1B66" w14:paraId="19A6A9D6" w14:textId="77777777">
        <w:tc>
          <w:tcPr>
            <w:tcW w:w="203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BEA2A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Минэкономразвития</w:t>
            </w:r>
          </w:p>
        </w:tc>
        <w:tc>
          <w:tcPr>
            <w:tcW w:w="1691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9317D0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8B1E1E"/>
                <w:sz w:val="19"/>
              </w:rPr>
              <w:t>−1,5</w:t>
            </w:r>
          </w:p>
        </w:tc>
        <w:tc>
          <w:tcPr>
            <w:tcW w:w="149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055623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Май 2026</w:t>
            </w:r>
          </w:p>
        </w:tc>
        <w:tc>
          <w:tcPr>
            <w:tcW w:w="238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C652CF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Инвестиции в ОК (Росстат)</w:t>
            </w:r>
          </w:p>
        </w:tc>
        <w:tc>
          <w:tcPr>
            <w:tcW w:w="2133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639DB9" w14:textId="77777777" w:rsidR="00CF1B66" w:rsidRDefault="00C324F2">
            <w:pPr>
              <w:jc w:val="center"/>
              <w:rPr>
                <w:rFonts w:ascii="Arial" w:hAnsi="Arial"/>
              </w:rPr>
            </w:pPr>
            <w:hyperlink r:id="rId13" w:history="1">
              <w:r w:rsidR="00994877">
                <w:rPr>
                  <w:rFonts w:ascii="Arial" w:hAnsi="Arial"/>
                  <w:color w:val="01696F"/>
                  <w:sz w:val="18"/>
                  <w:u w:val="single" w:color="01696F"/>
                </w:rPr>
                <w:t>economy.gov.ru</w:t>
              </w:r>
            </w:hyperlink>
          </w:p>
        </w:tc>
      </w:tr>
      <w:tr w:rsidR="00CF1B66" w14:paraId="250821D7" w14:textId="77777777">
        <w:tc>
          <w:tcPr>
            <w:tcW w:w="203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CE323D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Банк России</w:t>
            </w:r>
          </w:p>
        </w:tc>
        <w:tc>
          <w:tcPr>
            <w:tcW w:w="1691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6A0A2D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B85C00"/>
                <w:sz w:val="19"/>
              </w:rPr>
              <w:t>0,0 – +2,0</w:t>
            </w:r>
          </w:p>
        </w:tc>
        <w:tc>
          <w:tcPr>
            <w:tcW w:w="149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154D26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Май 2026</w:t>
            </w:r>
          </w:p>
        </w:tc>
        <w:tc>
          <w:tcPr>
            <w:tcW w:w="238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3D5465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ВНОК (СНС)</w:t>
            </w:r>
          </w:p>
        </w:tc>
        <w:tc>
          <w:tcPr>
            <w:tcW w:w="2133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DB52E7" w14:textId="77777777" w:rsidR="00CF1B66" w:rsidRDefault="00C324F2">
            <w:pPr>
              <w:jc w:val="center"/>
              <w:rPr>
                <w:rFonts w:ascii="Arial" w:hAnsi="Arial"/>
              </w:rPr>
            </w:pPr>
            <w:hyperlink r:id="rId14" w:history="1">
              <w:r w:rsidR="00994877">
                <w:rPr>
                  <w:rFonts w:ascii="Arial" w:hAnsi="Arial"/>
                  <w:color w:val="01696F"/>
                  <w:sz w:val="18"/>
                  <w:u w:val="single" w:color="01696F"/>
                </w:rPr>
                <w:t>cbr.ru</w:t>
              </w:r>
            </w:hyperlink>
          </w:p>
        </w:tc>
      </w:tr>
      <w:tr w:rsidR="00CF1B66" w14:paraId="70515264" w14:textId="77777777">
        <w:tc>
          <w:tcPr>
            <w:tcW w:w="203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06F83E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ВЭБ.РФ</w:t>
            </w:r>
          </w:p>
        </w:tc>
        <w:tc>
          <w:tcPr>
            <w:tcW w:w="1691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6E32C5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8B1E1E"/>
                <w:sz w:val="19"/>
              </w:rPr>
              <w:t>−0,9</w:t>
            </w:r>
          </w:p>
        </w:tc>
        <w:tc>
          <w:tcPr>
            <w:tcW w:w="149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9E9E03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Февраль 2026</w:t>
            </w:r>
          </w:p>
        </w:tc>
        <w:tc>
          <w:tcPr>
            <w:tcW w:w="238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20A8E3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Собств. макромодель</w:t>
            </w:r>
          </w:p>
        </w:tc>
        <w:tc>
          <w:tcPr>
            <w:tcW w:w="2133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FBF777" w14:textId="77777777" w:rsidR="00CF1B66" w:rsidRDefault="00C324F2">
            <w:pPr>
              <w:jc w:val="center"/>
              <w:rPr>
                <w:rFonts w:ascii="Arial" w:hAnsi="Arial"/>
              </w:rPr>
            </w:pPr>
            <w:hyperlink r:id="rId15" w:history="1">
              <w:r w:rsidR="00994877">
                <w:rPr>
                  <w:rFonts w:ascii="Arial" w:hAnsi="Arial"/>
                  <w:color w:val="01696F"/>
                  <w:sz w:val="18"/>
                  <w:u w:val="single" w:color="01696F"/>
                </w:rPr>
                <w:t>НБЖ</w:t>
              </w:r>
            </w:hyperlink>
          </w:p>
        </w:tc>
      </w:tr>
    </w:tbl>
    <w:p w14:paraId="7AD2AF13" w14:textId="77777777" w:rsidR="00CF1B66" w:rsidRDefault="00994877">
      <w:pPr>
        <w:spacing w:before="40" w:after="200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>Источник: Минэкономразвития, Банк России, ВЭБ.РФ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CF1B66" w14:paraId="3DBF0085" w14:textId="77777777">
        <w:tc>
          <w:tcPr>
            <w:tcW w:w="9746" w:type="dxa"/>
            <w:tcBorders>
              <w:top w:val="single" w:sz="8" w:space="0" w:color="01696F"/>
              <w:left w:val="single" w:sz="24" w:space="0" w:color="01696F"/>
              <w:bottom w:val="single" w:sz="4" w:space="0" w:color="01696F"/>
              <w:right w:val="single" w:sz="4" w:space="0" w:color="01696F"/>
            </w:tcBorders>
            <w:shd w:val="clear" w:color="auto" w:fill="F7F4ED"/>
            <w:tcMar>
              <w:top w:w="180" w:type="dxa"/>
              <w:left w:w="240" w:type="dxa"/>
              <w:bottom w:w="180" w:type="dxa"/>
              <w:right w:w="200" w:type="dxa"/>
            </w:tcMar>
          </w:tcPr>
          <w:p w14:paraId="7F9369B4" w14:textId="77777777" w:rsidR="00CF1B66" w:rsidRDefault="00994877">
            <w:pPr>
              <w:spacing w:after="8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1696F"/>
                <w:sz w:val="22"/>
              </w:rPr>
              <w:t>Выводы по блоку 1</w:t>
            </w:r>
          </w:p>
          <w:p w14:paraId="554B1DB1" w14:textId="00B78854" w:rsidR="00CF1B66" w:rsidRDefault="00E46D06">
            <w:pPr>
              <w:spacing w:line="30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</w:rPr>
              <w:t>Спад и</w:t>
            </w:r>
            <w:r w:rsidR="00994877">
              <w:rPr>
                <w:rFonts w:ascii="Arial" w:hAnsi="Arial"/>
                <w:color w:val="1A1A1A"/>
              </w:rPr>
              <w:t>нвестиционн</w:t>
            </w:r>
            <w:r>
              <w:rPr>
                <w:rFonts w:ascii="Arial" w:hAnsi="Arial"/>
                <w:color w:val="1A1A1A"/>
              </w:rPr>
              <w:t>ой</w:t>
            </w:r>
            <w:r w:rsidR="00994877">
              <w:rPr>
                <w:rFonts w:ascii="Arial" w:hAnsi="Arial"/>
                <w:color w:val="1A1A1A"/>
              </w:rPr>
              <w:t xml:space="preserve"> активност</w:t>
            </w:r>
            <w:r>
              <w:rPr>
                <w:rFonts w:ascii="Arial" w:hAnsi="Arial"/>
                <w:color w:val="1A1A1A"/>
              </w:rPr>
              <w:t>и</w:t>
            </w:r>
            <w:r w:rsidR="00994877">
              <w:rPr>
                <w:rFonts w:ascii="Arial" w:hAnsi="Arial"/>
                <w:color w:val="1A1A1A"/>
              </w:rPr>
              <w:t xml:space="preserve"> </w:t>
            </w:r>
            <w:r>
              <w:rPr>
                <w:rFonts w:ascii="Arial" w:hAnsi="Arial"/>
                <w:color w:val="1A1A1A"/>
              </w:rPr>
              <w:t>ускоряется</w:t>
            </w:r>
            <w:r w:rsidR="00994877">
              <w:rPr>
                <w:rFonts w:ascii="Arial" w:hAnsi="Arial"/>
                <w:color w:val="1A1A1A"/>
              </w:rPr>
              <w:t xml:space="preserve"> четвертый квартал подряд с устойчивостью, исключающей разовые шоки. Драйверы спада: эффект высокой базы 2023–2024 гг., запретительная стоимость заемного капитала (ключевая ставка ЦБ 15–16% в I квартале 2026 г.), повышение НДС с 1 января 2026 г. с 20% до 22%, бюджетные ограничения и фактический мораторий на новые выделения из ФНБ. Институциональные прогнозы 2026 г. расходятся в диапазоне от −1,5% (Минэк) до +2% (ЦБ, методология ВНОК) — расхождение прежде всего методологическое.</w:t>
            </w:r>
          </w:p>
        </w:tc>
      </w:tr>
    </w:tbl>
    <w:p w14:paraId="6383B366" w14:textId="77777777" w:rsidR="00CF1B66" w:rsidRDefault="00994877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4E863C07" w14:textId="77777777" w:rsidR="00CF1B66" w:rsidRDefault="00994877">
      <w:pPr>
        <w:pStyle w:val="10"/>
        <w:rPr>
          <w:rFonts w:ascii="Arial" w:hAnsi="Arial"/>
        </w:rPr>
      </w:pPr>
      <w:r>
        <w:rPr>
          <w:rFonts w:ascii="Arial" w:hAnsi="Arial"/>
        </w:rPr>
        <w:t>Блок 2. Структура вложений: расширение или поддержание</w:t>
      </w:r>
    </w:p>
    <w:p w14:paraId="0EB9A892" w14:textId="77777777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>Структурный анализ инвестиций при сравнении с аналогичным периодом прошлого года показывает сдвиг к менее производительному капиталу. Доля машин, оборудования и транспорта в общей структуре инвестиций снизилась с 36,7% (I кв. 2025) до 34% (I кв. 2026). Параллельно выросла доля жилых зданий (+0,7 п.п.) и объектов интеллектуальной собственности (+1,6 п.п.).</w:t>
      </w:r>
    </w:p>
    <w:p w14:paraId="03849C38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Структура по видам активов</w:t>
      </w:r>
    </w:p>
    <w:p w14:paraId="1169C625" w14:textId="77777777" w:rsidR="00CF1B66" w:rsidRDefault="00994877">
      <w:pPr>
        <w:spacing w:before="160" w:after="80"/>
        <w:rPr>
          <w:rFonts w:ascii="Arial" w:hAnsi="Arial"/>
        </w:rPr>
      </w:pPr>
      <w:r>
        <w:rPr>
          <w:rFonts w:ascii="Arial" w:hAnsi="Arial"/>
          <w:b/>
          <w:color w:val="01696F"/>
          <w:sz w:val="19"/>
        </w:rPr>
        <w:t xml:space="preserve">Таблица 2.1. </w:t>
      </w:r>
      <w:r>
        <w:rPr>
          <w:rFonts w:ascii="Arial" w:hAnsi="Arial"/>
          <w:b/>
          <w:color w:val="1A1A1A"/>
          <w:sz w:val="19"/>
        </w:rPr>
        <w:t>Структура инвестиций в основной капитал по видам активов (%)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1900"/>
        <w:gridCol w:w="1900"/>
        <w:gridCol w:w="2146"/>
      </w:tblGrid>
      <w:tr w:rsidR="00CF1B66" w14:paraId="573290AB" w14:textId="77777777">
        <w:trPr>
          <w:tblHeader/>
        </w:trPr>
        <w:tc>
          <w:tcPr>
            <w:tcW w:w="3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1E33CF4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Вид актива</w:t>
            </w:r>
          </w:p>
        </w:tc>
        <w:tc>
          <w:tcPr>
            <w:tcW w:w="19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5A6295E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I кв. 2025</w:t>
            </w:r>
          </w:p>
        </w:tc>
        <w:tc>
          <w:tcPr>
            <w:tcW w:w="19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8DD4FC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I кв. 2026</w:t>
            </w:r>
          </w:p>
        </w:tc>
        <w:tc>
          <w:tcPr>
            <w:tcW w:w="2146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630BF95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Δ, п.п.</w:t>
            </w:r>
          </w:p>
        </w:tc>
      </w:tr>
      <w:tr w:rsidR="00CF1B66" w14:paraId="18993EFA" w14:textId="77777777">
        <w:tc>
          <w:tcPr>
            <w:tcW w:w="38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E4CC48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Машины, оборудование, транспорт</w:t>
            </w:r>
          </w:p>
        </w:tc>
        <w:tc>
          <w:tcPr>
            <w:tcW w:w="1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7DD007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36,7</w:t>
            </w:r>
          </w:p>
        </w:tc>
        <w:tc>
          <w:tcPr>
            <w:tcW w:w="1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A28FA3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34,0</w:t>
            </w:r>
          </w:p>
        </w:tc>
        <w:tc>
          <w:tcPr>
            <w:tcW w:w="21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6D13B0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−2,7</w:t>
            </w:r>
          </w:p>
        </w:tc>
      </w:tr>
      <w:tr w:rsidR="00CF1B66" w14:paraId="5E6EC4AE" w14:textId="77777777">
        <w:tc>
          <w:tcPr>
            <w:tcW w:w="38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11AFD9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Здания (нежилые) и сооружения</w:t>
            </w:r>
          </w:p>
        </w:tc>
        <w:tc>
          <w:tcPr>
            <w:tcW w:w="1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93E60F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41,8</w:t>
            </w:r>
          </w:p>
        </w:tc>
        <w:tc>
          <w:tcPr>
            <w:tcW w:w="1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ED9933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40,8</w:t>
            </w:r>
          </w:p>
        </w:tc>
        <w:tc>
          <w:tcPr>
            <w:tcW w:w="21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1B2BDE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-1,0</w:t>
            </w:r>
          </w:p>
        </w:tc>
      </w:tr>
      <w:tr w:rsidR="00CF1B66" w14:paraId="4B5844D2" w14:textId="77777777">
        <w:tc>
          <w:tcPr>
            <w:tcW w:w="38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7C29AA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Жилые здания и помещения</w:t>
            </w:r>
          </w:p>
        </w:tc>
        <w:tc>
          <w:tcPr>
            <w:tcW w:w="1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575285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7,6</w:t>
            </w:r>
          </w:p>
        </w:tc>
        <w:tc>
          <w:tcPr>
            <w:tcW w:w="1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05AA81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8,3</w:t>
            </w:r>
          </w:p>
        </w:tc>
        <w:tc>
          <w:tcPr>
            <w:tcW w:w="21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6B102C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+0,7</w:t>
            </w:r>
          </w:p>
        </w:tc>
      </w:tr>
      <w:tr w:rsidR="00CF1B66" w14:paraId="0ECC4DAE" w14:textId="77777777">
        <w:tc>
          <w:tcPr>
            <w:tcW w:w="38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550827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Объекты интеллектуальной собственности</w:t>
            </w:r>
          </w:p>
        </w:tc>
        <w:tc>
          <w:tcPr>
            <w:tcW w:w="1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268E2C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7,4</w:t>
            </w:r>
          </w:p>
        </w:tc>
        <w:tc>
          <w:tcPr>
            <w:tcW w:w="1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28E4D4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9,0</w:t>
            </w:r>
          </w:p>
        </w:tc>
        <w:tc>
          <w:tcPr>
            <w:tcW w:w="21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DF97B9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+1,6</w:t>
            </w:r>
          </w:p>
        </w:tc>
      </w:tr>
      <w:tr w:rsidR="00CF1B66" w14:paraId="5D05BE88" w14:textId="77777777">
        <w:tc>
          <w:tcPr>
            <w:tcW w:w="38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CCCBE6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Прочие инвестиции</w:t>
            </w:r>
          </w:p>
        </w:tc>
        <w:tc>
          <w:tcPr>
            <w:tcW w:w="1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B71F88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6,4</w:t>
            </w:r>
          </w:p>
        </w:tc>
        <w:tc>
          <w:tcPr>
            <w:tcW w:w="1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416A3E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7,9</w:t>
            </w:r>
          </w:p>
        </w:tc>
        <w:tc>
          <w:tcPr>
            <w:tcW w:w="21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958B17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+1,5</w:t>
            </w:r>
          </w:p>
        </w:tc>
      </w:tr>
    </w:tbl>
    <w:p w14:paraId="406B44B1" w14:textId="77777777" w:rsidR="00CF1B66" w:rsidRDefault="00994877">
      <w:pPr>
        <w:spacing w:before="40" w:after="200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 xml:space="preserve">Источник: </w:t>
      </w:r>
      <w:hyperlink r:id="rId16" w:history="1">
        <w:r>
          <w:rPr>
            <w:rStyle w:val="ac"/>
            <w:rFonts w:ascii="Arial" w:hAnsi="Arial"/>
            <w:i/>
            <w:sz w:val="17"/>
          </w:rPr>
          <w:t>Росстат</w:t>
        </w:r>
      </w:hyperlink>
    </w:p>
    <w:p w14:paraId="6E37199B" w14:textId="77777777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 xml:space="preserve">Снижение доли машин и оборудования — значительная структурная подвижка. В нормальных условиях расширения экономики эта доля должна расти, а не падать: именно вложения в активную часть основных фондов формируют производительность будущих периодов. Текущая динамика свидетельствует о переходе экономики в режим поддержания, а не расширения производственных мощностей. </w:t>
      </w:r>
    </w:p>
    <w:p w14:paraId="52DE514F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Отраслевая структура: дивергенция секторов</w:t>
      </w:r>
    </w:p>
    <w:p w14:paraId="35E2233C" w14:textId="77777777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>Опираясь на оперативные данные по промышленному производству за январь–апрель 2026 г. и итоги 2025 г., можно выделить три траектории: (1) ускоренный рост — оборонно-промышленный комплекс, фармацевтика, ИТ-сектор; (2) стагнация — АПК; (3) спад — металлургия, стройматериалы, лесопереработка.</w:t>
      </w:r>
    </w:p>
    <w:p w14:paraId="3F6E7EFA" w14:textId="77777777" w:rsidR="00CF1B66" w:rsidRDefault="00994877">
      <w:pPr>
        <w:spacing w:before="160" w:after="80"/>
        <w:rPr>
          <w:rFonts w:ascii="Arial" w:hAnsi="Arial"/>
        </w:rPr>
      </w:pPr>
      <w:r>
        <w:rPr>
          <w:rFonts w:ascii="Arial" w:hAnsi="Arial"/>
          <w:b/>
          <w:color w:val="01696F"/>
          <w:sz w:val="19"/>
        </w:rPr>
        <w:t xml:space="preserve">Таблица 2.2. </w:t>
      </w:r>
      <w:r>
        <w:rPr>
          <w:rFonts w:ascii="Arial" w:hAnsi="Arial"/>
          <w:b/>
          <w:color w:val="1A1A1A"/>
          <w:sz w:val="19"/>
        </w:rPr>
        <w:t>Отраслевые драйверы и аутсайдеры инвестиционного цикла 2025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4"/>
        <w:gridCol w:w="1794"/>
        <w:gridCol w:w="1887"/>
        <w:gridCol w:w="3201"/>
      </w:tblGrid>
      <w:tr w:rsidR="00CF1B66" w14:paraId="01C3169D" w14:textId="77777777">
        <w:trPr>
          <w:tblHeader/>
        </w:trPr>
        <w:tc>
          <w:tcPr>
            <w:tcW w:w="2864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0A0FEB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Отрасль</w:t>
            </w:r>
          </w:p>
        </w:tc>
        <w:tc>
          <w:tcPr>
            <w:tcW w:w="1794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116EB4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Тренд</w:t>
            </w:r>
          </w:p>
        </w:tc>
        <w:tc>
          <w:tcPr>
            <w:tcW w:w="1887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D0E267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Динамика индекса производства январь-апрель 2026, % к январю-апрелю 2025 г.</w:t>
            </w:r>
          </w:p>
        </w:tc>
        <w:tc>
          <w:tcPr>
            <w:tcW w:w="3201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8A82A6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Драйверы / факторы</w:t>
            </w:r>
          </w:p>
        </w:tc>
      </w:tr>
      <w:tr w:rsidR="00CF1B66" w14:paraId="567A5CA7" w14:textId="77777777">
        <w:tc>
          <w:tcPr>
            <w:tcW w:w="286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4745A0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«Прочие транспортные средства» (ВПК-сегмент)</w:t>
            </w:r>
          </w:p>
        </w:tc>
        <w:tc>
          <w:tcPr>
            <w:tcW w:w="179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46D4A2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ДРАЙВЕР</w:t>
            </w:r>
          </w:p>
        </w:tc>
        <w:tc>
          <w:tcPr>
            <w:tcW w:w="188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581C9A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+33,4</w:t>
            </w:r>
          </w:p>
        </w:tc>
        <w:tc>
          <w:tcPr>
            <w:tcW w:w="3201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4DF9F0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Гособоронзаказ, БПЛА, авиация, судостроение</w:t>
            </w:r>
          </w:p>
        </w:tc>
      </w:tr>
      <w:tr w:rsidR="00CF1B66" w14:paraId="0704928C" w14:textId="77777777">
        <w:tc>
          <w:tcPr>
            <w:tcW w:w="286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41653C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Фармацевтика</w:t>
            </w:r>
          </w:p>
        </w:tc>
        <w:tc>
          <w:tcPr>
            <w:tcW w:w="179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D57E38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ДРАЙВЕР</w:t>
            </w:r>
          </w:p>
        </w:tc>
        <w:tc>
          <w:tcPr>
            <w:tcW w:w="188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5818DC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+12,3</w:t>
            </w:r>
          </w:p>
        </w:tc>
        <w:tc>
          <w:tcPr>
            <w:tcW w:w="3201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BEAD21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Импортозамещение, нацпроект «Здравоохранение»</w:t>
            </w:r>
          </w:p>
        </w:tc>
      </w:tr>
      <w:tr w:rsidR="00CF1B66" w14:paraId="2054781A" w14:textId="77777777">
        <w:tc>
          <w:tcPr>
            <w:tcW w:w="286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76CA3E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Компьютеры и электроника</w:t>
            </w:r>
          </w:p>
        </w:tc>
        <w:tc>
          <w:tcPr>
            <w:tcW w:w="179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398E01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ДРАЙВЕР</w:t>
            </w:r>
          </w:p>
        </w:tc>
        <w:tc>
          <w:tcPr>
            <w:tcW w:w="188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09A244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+2,7</w:t>
            </w:r>
          </w:p>
        </w:tc>
        <w:tc>
          <w:tcPr>
            <w:tcW w:w="3201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A2E5BE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Технологический суверенитет, господдержка</w:t>
            </w:r>
          </w:p>
        </w:tc>
      </w:tr>
      <w:tr w:rsidR="00CF1B66" w14:paraId="32EF4C4B" w14:textId="77777777">
        <w:tc>
          <w:tcPr>
            <w:tcW w:w="286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903B42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Пищевая промышленность</w:t>
            </w:r>
          </w:p>
        </w:tc>
        <w:tc>
          <w:tcPr>
            <w:tcW w:w="179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E4D90" w14:textId="77777777" w:rsidR="00CF1B66" w:rsidRDefault="00994877">
            <w:pPr>
              <w:jc w:val="center"/>
              <w:rPr>
                <w:rFonts w:ascii="Arial" w:hAnsi="Arial"/>
                <w:color w:val="ED7D31" w:themeColor="accent2"/>
              </w:rPr>
            </w:pPr>
            <w:r>
              <w:rPr>
                <w:rFonts w:ascii="Arial" w:hAnsi="Arial"/>
                <w:color w:val="ED7D31" w:themeColor="accent2"/>
                <w:sz w:val="19"/>
              </w:rPr>
              <w:t>СТАБИЛЬНОСТЬ</w:t>
            </w:r>
          </w:p>
        </w:tc>
        <w:tc>
          <w:tcPr>
            <w:tcW w:w="188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324716" w14:textId="77777777" w:rsidR="00CF1B66" w:rsidRDefault="00994877">
            <w:pPr>
              <w:jc w:val="center"/>
              <w:rPr>
                <w:rFonts w:ascii="Arial" w:hAnsi="Arial"/>
                <w:color w:val="ED7D31" w:themeColor="accent2"/>
              </w:rPr>
            </w:pPr>
            <w:r>
              <w:rPr>
                <w:rFonts w:ascii="Arial" w:hAnsi="Arial"/>
                <w:color w:val="ED7D31" w:themeColor="accent2"/>
                <w:sz w:val="19"/>
              </w:rPr>
              <w:t>+1,0</w:t>
            </w:r>
          </w:p>
        </w:tc>
        <w:tc>
          <w:tcPr>
            <w:tcW w:w="3201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DDCC32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Замещение импорта, экспорт АПК</w:t>
            </w:r>
          </w:p>
        </w:tc>
      </w:tr>
      <w:tr w:rsidR="00CF1B66" w14:paraId="14329185" w14:textId="77777777">
        <w:tc>
          <w:tcPr>
            <w:tcW w:w="286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4EA094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Деревообработка</w:t>
            </w:r>
          </w:p>
        </w:tc>
        <w:tc>
          <w:tcPr>
            <w:tcW w:w="179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73249B" w14:textId="77777777" w:rsidR="00CF1B66" w:rsidRDefault="00994877">
            <w:pPr>
              <w:jc w:val="center"/>
              <w:rPr>
                <w:rFonts w:ascii="Arial" w:hAnsi="Arial"/>
                <w:color w:val="8B1E1E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СПАД</w:t>
            </w:r>
          </w:p>
        </w:tc>
        <w:tc>
          <w:tcPr>
            <w:tcW w:w="188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503C27" w14:textId="77777777" w:rsidR="00CF1B66" w:rsidRDefault="00994877">
            <w:pPr>
              <w:jc w:val="center"/>
              <w:rPr>
                <w:rFonts w:ascii="Arial" w:hAnsi="Arial"/>
                <w:color w:val="8B1E1E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−5,3</w:t>
            </w:r>
          </w:p>
        </w:tc>
        <w:tc>
          <w:tcPr>
            <w:tcW w:w="3201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2088F2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Падение экспорта</w:t>
            </w:r>
          </w:p>
        </w:tc>
      </w:tr>
      <w:tr w:rsidR="00CF1B66" w14:paraId="57CD60C6" w14:textId="77777777">
        <w:tc>
          <w:tcPr>
            <w:tcW w:w="286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055A7A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Металлургия</w:t>
            </w:r>
          </w:p>
        </w:tc>
        <w:tc>
          <w:tcPr>
            <w:tcW w:w="179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CFF3F" w14:textId="77777777" w:rsidR="00CF1B66" w:rsidRDefault="00994877">
            <w:pPr>
              <w:jc w:val="center"/>
              <w:rPr>
                <w:rFonts w:ascii="Arial" w:hAnsi="Arial"/>
                <w:color w:val="8B1E1E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СПАД</w:t>
            </w:r>
          </w:p>
        </w:tc>
        <w:tc>
          <w:tcPr>
            <w:tcW w:w="188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88D05C" w14:textId="77777777" w:rsidR="00CF1B66" w:rsidRDefault="00994877">
            <w:pPr>
              <w:jc w:val="center"/>
              <w:rPr>
                <w:rFonts w:ascii="Arial" w:hAnsi="Arial"/>
                <w:color w:val="8B1E1E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−9,9</w:t>
            </w:r>
            <w:r>
              <w:rPr>
                <w:rStyle w:val="a6"/>
                <w:rFonts w:ascii="Arial" w:hAnsi="Arial"/>
                <w:color w:val="8B1E1E"/>
                <w:sz w:val="19"/>
              </w:rPr>
              <w:footnoteReference w:id="1"/>
            </w:r>
          </w:p>
        </w:tc>
        <w:tc>
          <w:tcPr>
            <w:tcW w:w="3201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ADFCF0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 xml:space="preserve">Падение внутреннего спроса на сталь </w:t>
            </w:r>
          </w:p>
        </w:tc>
      </w:tr>
    </w:tbl>
    <w:p w14:paraId="7D0660BF" w14:textId="77777777" w:rsidR="00CF1B66" w:rsidRDefault="00994877">
      <w:pPr>
        <w:spacing w:before="40" w:after="200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 xml:space="preserve">Источник: </w:t>
      </w:r>
      <w:hyperlink r:id="rId17" w:history="1">
        <w:r>
          <w:rPr>
            <w:rStyle w:val="ac"/>
            <w:rFonts w:ascii="Arial" w:hAnsi="Arial"/>
            <w:i/>
            <w:sz w:val="17"/>
          </w:rPr>
          <w:t>Росстат (промпроизводство, январь–март 2026</w:t>
        </w:r>
      </w:hyperlink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CF1B66" w14:paraId="073802D0" w14:textId="77777777">
        <w:tc>
          <w:tcPr>
            <w:tcW w:w="9746" w:type="dxa"/>
            <w:tcBorders>
              <w:top w:val="single" w:sz="8" w:space="0" w:color="01696F"/>
              <w:left w:val="single" w:sz="24" w:space="0" w:color="01696F"/>
              <w:bottom w:val="single" w:sz="4" w:space="0" w:color="01696F"/>
              <w:right w:val="single" w:sz="4" w:space="0" w:color="01696F"/>
            </w:tcBorders>
            <w:shd w:val="clear" w:color="auto" w:fill="F7F4ED"/>
            <w:tcMar>
              <w:top w:w="180" w:type="dxa"/>
              <w:left w:w="240" w:type="dxa"/>
              <w:bottom w:w="180" w:type="dxa"/>
              <w:right w:w="200" w:type="dxa"/>
            </w:tcMar>
          </w:tcPr>
          <w:p w14:paraId="78BA70E6" w14:textId="77777777" w:rsidR="00CF1B66" w:rsidRDefault="00994877">
            <w:pPr>
              <w:spacing w:after="8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1696F"/>
                <w:sz w:val="22"/>
              </w:rPr>
              <w:t>Вывод по блоку 2</w:t>
            </w:r>
          </w:p>
          <w:p w14:paraId="238A2EF4" w14:textId="77777777" w:rsidR="00CF1B66" w:rsidRDefault="00994877">
            <w:pPr>
              <w:spacing w:line="30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</w:rPr>
              <w:t>Структура инвестиций демонстрирует двойственную картину: с одной стороны — расширение в оборонно-промышленных, фармацевтических и ИТ-отраслях, обусловленное госзаказом и импортозамещением; с другой — сужение производственной базы в гражданских отраслях, ориентированных на инвестиционный спрос (металлургия, стройматериалы). Падение доли машин и оборудования — структурный сигнал перехода экономики к режиму поддержания инфраструктуры и точечного капитального строительства. Признаки технологического обновления присутствуют в узких сегментах (ВПК, фарма, ИТ), но не складываются в общеэкономическую модернизацию.</w:t>
            </w:r>
          </w:p>
        </w:tc>
      </w:tr>
    </w:tbl>
    <w:p w14:paraId="0AD09392" w14:textId="77777777" w:rsidR="00CF1B66" w:rsidRDefault="00CF1B66">
      <w:pPr>
        <w:sectPr w:rsidR="00CF1B66">
          <w:headerReference w:type="default" r:id="rId18"/>
          <w:footerReference w:type="even" r:id="rId19"/>
          <w:footerReference w:type="default" r:id="rId20"/>
          <w:pgSz w:w="11906" w:h="16838"/>
          <w:pgMar w:top="1080" w:right="1080" w:bottom="1080" w:left="1080" w:header="708" w:footer="708" w:gutter="0"/>
          <w:cols w:space="720"/>
          <w:titlePg/>
        </w:sectPr>
      </w:pPr>
    </w:p>
    <w:p w14:paraId="7EBA0FBE" w14:textId="77777777" w:rsidR="00CF1B66" w:rsidRDefault="00994877">
      <w:pPr>
        <w:pStyle w:val="10"/>
        <w:rPr>
          <w:rFonts w:ascii="Arial" w:hAnsi="Arial"/>
        </w:rPr>
      </w:pPr>
      <w:r>
        <w:rPr>
          <w:rFonts w:ascii="Arial" w:hAnsi="Arial"/>
        </w:rPr>
        <w:t>Блок 3. Источники инвестиций</w:t>
      </w:r>
    </w:p>
    <w:p w14:paraId="42FAE5B5" w14:textId="77777777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>Структура источников инвестиций в 2025 году и в начале 2026 г. отражает адаптацию бизнеса к высокой стоимости заемного капитала и сокращению господдержки. Доля собственных средств — прибыль и амортизация — выросла с 53,1% в 2022 г. до 58,8% в 2025 г. и до 62,7% в I кв. 2026 г. Доля банковского кредита поднялась с 10,2% до 13,1% по итогу 2025 г. и составила 13,9% в I кв. 2026 г. Бюджетная компонента сократилась с 20,5% до 15,2% по итогам 2025 г., что связано с изменением структуры бюджетных приоритетов и перераспределением расходов (в I кв. 2026 она составила 9,8%, что отражает сезонную цикличность государственного финансирования).</w:t>
      </w:r>
    </w:p>
    <w:p w14:paraId="2E4B29FF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Структура источников финансирования</w:t>
      </w:r>
    </w:p>
    <w:p w14:paraId="1496DBEE" w14:textId="77777777" w:rsidR="00CF1B66" w:rsidRDefault="00994877">
      <w:pPr>
        <w:spacing w:before="160" w:after="80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632D9506" wp14:editId="66BAE5F6">
            <wp:extent cx="5050564" cy="3897526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5050564" cy="389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FE717" w14:textId="77777777" w:rsidR="00CF1B66" w:rsidRDefault="00994877">
      <w:pPr>
        <w:spacing w:after="60"/>
        <w:rPr>
          <w:rFonts w:ascii="Arial" w:hAnsi="Arial"/>
        </w:rPr>
      </w:pPr>
      <w:r>
        <w:rPr>
          <w:rFonts w:ascii="Arial" w:hAnsi="Arial"/>
          <w:b/>
          <w:i/>
          <w:color w:val="5A5A5A"/>
          <w:sz w:val="18"/>
        </w:rPr>
        <w:t>Рисунок 2. Структура источников финансирования инвестиций в основной капитал</w:t>
      </w:r>
    </w:p>
    <w:p w14:paraId="17D14EF3" w14:textId="77777777" w:rsidR="00CF1B66" w:rsidRDefault="00994877">
      <w:pPr>
        <w:spacing w:after="200" w:line="300" w:lineRule="auto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 xml:space="preserve">Источник: </w:t>
      </w:r>
      <w:hyperlink r:id="rId22" w:history="1">
        <w:r>
          <w:rPr>
            <w:rStyle w:val="ac"/>
            <w:rFonts w:ascii="Arial" w:hAnsi="Arial"/>
            <w:i/>
            <w:sz w:val="17"/>
          </w:rPr>
          <w:t>Росстат</w:t>
        </w:r>
      </w:hyperlink>
    </w:p>
    <w:p w14:paraId="53CE81D7" w14:textId="77777777" w:rsidR="00CF1B66" w:rsidRDefault="00994877">
      <w:pPr>
        <w:spacing w:before="160" w:after="80"/>
        <w:rPr>
          <w:rFonts w:ascii="Arial" w:hAnsi="Arial"/>
        </w:rPr>
      </w:pPr>
      <w:r>
        <w:rPr>
          <w:rFonts w:ascii="Arial" w:hAnsi="Arial"/>
          <w:b/>
          <w:color w:val="01696F"/>
          <w:sz w:val="19"/>
        </w:rPr>
        <w:t xml:space="preserve">Таблица 3.1. </w:t>
      </w:r>
      <w:r>
        <w:rPr>
          <w:rFonts w:ascii="Arial" w:hAnsi="Arial"/>
          <w:b/>
          <w:color w:val="1A1A1A"/>
          <w:sz w:val="19"/>
        </w:rPr>
        <w:t>Структура источников инвестиций в основной капитал (%)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7"/>
        <w:gridCol w:w="727"/>
        <w:gridCol w:w="874"/>
        <w:gridCol w:w="824"/>
        <w:gridCol w:w="728"/>
        <w:gridCol w:w="960"/>
        <w:gridCol w:w="1240"/>
        <w:gridCol w:w="1240"/>
        <w:gridCol w:w="1116"/>
      </w:tblGrid>
      <w:tr w:rsidR="00CF1B66" w14:paraId="194CD7AC" w14:textId="77777777">
        <w:trPr>
          <w:tblHeader/>
        </w:trPr>
        <w:tc>
          <w:tcPr>
            <w:tcW w:w="2027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457EC79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Источник</w:t>
            </w:r>
          </w:p>
        </w:tc>
        <w:tc>
          <w:tcPr>
            <w:tcW w:w="727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C17AFDB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2022</w:t>
            </w:r>
          </w:p>
        </w:tc>
        <w:tc>
          <w:tcPr>
            <w:tcW w:w="874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3C22C7E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2023</w:t>
            </w:r>
          </w:p>
        </w:tc>
        <w:tc>
          <w:tcPr>
            <w:tcW w:w="824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319FA2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2024</w:t>
            </w:r>
          </w:p>
        </w:tc>
        <w:tc>
          <w:tcPr>
            <w:tcW w:w="728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C5FD17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2025</w:t>
            </w:r>
          </w:p>
        </w:tc>
        <w:tc>
          <w:tcPr>
            <w:tcW w:w="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8B4347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Δ 2025 vs 2022</w:t>
            </w:r>
          </w:p>
        </w:tc>
        <w:tc>
          <w:tcPr>
            <w:tcW w:w="124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left w:w="10" w:type="dxa"/>
              <w:right w:w="10" w:type="dxa"/>
            </w:tcMar>
          </w:tcPr>
          <w:p w14:paraId="58A0F885" w14:textId="77777777" w:rsidR="00CF1B66" w:rsidRDefault="00994877">
            <w:pPr>
              <w:jc w:val="center"/>
              <w:rPr>
                <w:rFonts w:ascii="Arial" w:hAnsi="Arial"/>
                <w:b/>
                <w:color w:val="FFFFFF"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I кв. 2025</w:t>
            </w:r>
          </w:p>
        </w:tc>
        <w:tc>
          <w:tcPr>
            <w:tcW w:w="124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left w:w="10" w:type="dxa"/>
              <w:right w:w="10" w:type="dxa"/>
            </w:tcMar>
          </w:tcPr>
          <w:p w14:paraId="326AFEBA" w14:textId="77777777" w:rsidR="00CF1B66" w:rsidRDefault="00994877">
            <w:pPr>
              <w:jc w:val="center"/>
              <w:rPr>
                <w:rFonts w:ascii="Arial" w:hAnsi="Arial"/>
                <w:b/>
                <w:color w:val="FFFFFF"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I кв. 2026</w:t>
            </w:r>
          </w:p>
        </w:tc>
        <w:tc>
          <w:tcPr>
            <w:tcW w:w="1116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left w:w="10" w:type="dxa"/>
              <w:right w:w="10" w:type="dxa"/>
            </w:tcMar>
          </w:tcPr>
          <w:p w14:paraId="4DBAFB70" w14:textId="77777777" w:rsidR="00CF1B66" w:rsidRDefault="00994877">
            <w:pPr>
              <w:jc w:val="center"/>
              <w:rPr>
                <w:rFonts w:ascii="Arial" w:hAnsi="Arial"/>
                <w:b/>
                <w:color w:val="FFFFFF"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Δ Q12026 vs Q12025</w:t>
            </w:r>
          </w:p>
        </w:tc>
      </w:tr>
      <w:tr w:rsidR="00CF1B66" w14:paraId="6EACDCDB" w14:textId="77777777">
        <w:tc>
          <w:tcPr>
            <w:tcW w:w="20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FAAF1C" w14:textId="77777777" w:rsidR="00CF1B66" w:rsidRDefault="00994877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 xml:space="preserve">Собственные средства </w:t>
            </w:r>
          </w:p>
        </w:tc>
        <w:tc>
          <w:tcPr>
            <w:tcW w:w="7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331CA5E8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53,1</w:t>
            </w:r>
          </w:p>
        </w:tc>
        <w:tc>
          <w:tcPr>
            <w:tcW w:w="87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6D157BDC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53,7</w:t>
            </w:r>
          </w:p>
        </w:tc>
        <w:tc>
          <w:tcPr>
            <w:tcW w:w="82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6C3DAB2B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55,4</w:t>
            </w:r>
          </w:p>
        </w:tc>
        <w:tc>
          <w:tcPr>
            <w:tcW w:w="72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14DC8164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58,8</w:t>
            </w:r>
          </w:p>
        </w:tc>
        <w:tc>
          <w:tcPr>
            <w:tcW w:w="96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5C9B0A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0F7B3F"/>
                <w:sz w:val="19"/>
              </w:rPr>
              <w:t>+5,7 п.п.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B4B3EF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62,0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67C7D8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62,7</w:t>
            </w:r>
          </w:p>
        </w:tc>
        <w:tc>
          <w:tcPr>
            <w:tcW w:w="111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6A7239" w14:textId="77777777" w:rsidR="00CF1B66" w:rsidRDefault="00994877">
            <w:pPr>
              <w:jc w:val="center"/>
              <w:rPr>
                <w:rFonts w:ascii="Arial" w:hAnsi="Arial"/>
                <w:color w:val="0F7B3F"/>
                <w:sz w:val="19"/>
              </w:rPr>
            </w:pPr>
            <w:r>
              <w:rPr>
                <w:rFonts w:ascii="Arial" w:hAnsi="Arial"/>
                <w:color w:val="0F7B3F"/>
                <w:sz w:val="19"/>
              </w:rPr>
              <w:t>+0,7 п.п.</w:t>
            </w:r>
          </w:p>
        </w:tc>
      </w:tr>
      <w:tr w:rsidR="00CF1B66" w14:paraId="1E83A14F" w14:textId="77777777">
        <w:tc>
          <w:tcPr>
            <w:tcW w:w="20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A1A9D4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Кредиты банков</w:t>
            </w:r>
          </w:p>
        </w:tc>
        <w:tc>
          <w:tcPr>
            <w:tcW w:w="7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6CFD15FC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sz w:val="19"/>
              </w:rPr>
              <w:t>10,2</w:t>
            </w:r>
          </w:p>
        </w:tc>
        <w:tc>
          <w:tcPr>
            <w:tcW w:w="87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44415B02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sz w:val="19"/>
              </w:rPr>
              <w:t>9,9</w:t>
            </w:r>
          </w:p>
        </w:tc>
        <w:tc>
          <w:tcPr>
            <w:tcW w:w="82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1A4D3C50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sz w:val="19"/>
              </w:rPr>
              <w:t>12,4</w:t>
            </w:r>
          </w:p>
        </w:tc>
        <w:tc>
          <w:tcPr>
            <w:tcW w:w="72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200F81B6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sz w:val="19"/>
              </w:rPr>
              <w:t>13,1</w:t>
            </w:r>
          </w:p>
        </w:tc>
        <w:tc>
          <w:tcPr>
            <w:tcW w:w="96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EFE2E2" w14:textId="77777777" w:rsidR="00CF1B66" w:rsidRDefault="00994877">
            <w:pPr>
              <w:jc w:val="center"/>
              <w:rPr>
                <w:rFonts w:ascii="Arial" w:hAnsi="Arial"/>
                <w:color w:val="0F7B3F"/>
                <w:sz w:val="19"/>
              </w:rPr>
            </w:pPr>
            <w:r>
              <w:rPr>
                <w:rFonts w:ascii="Arial" w:hAnsi="Arial"/>
                <w:color w:val="0F7B3F"/>
                <w:sz w:val="19"/>
              </w:rPr>
              <w:t>+2,9 п.п.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left w:w="10" w:type="dxa"/>
              <w:right w:w="10" w:type="dxa"/>
            </w:tcMar>
          </w:tcPr>
          <w:p w14:paraId="46DFC1AE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15,1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left w:w="10" w:type="dxa"/>
              <w:right w:w="10" w:type="dxa"/>
            </w:tcMar>
          </w:tcPr>
          <w:p w14:paraId="1116184A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13,9</w:t>
            </w:r>
          </w:p>
        </w:tc>
        <w:tc>
          <w:tcPr>
            <w:tcW w:w="111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left w:w="10" w:type="dxa"/>
              <w:right w:w="10" w:type="dxa"/>
            </w:tcMar>
          </w:tcPr>
          <w:p w14:paraId="17AE8DD3" w14:textId="77777777" w:rsidR="00CF1B66" w:rsidRDefault="00994877">
            <w:pPr>
              <w:jc w:val="center"/>
              <w:rPr>
                <w:rFonts w:ascii="Arial" w:hAnsi="Arial"/>
                <w:color w:val="0F7B3F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–1,2 п.п.</w:t>
            </w:r>
          </w:p>
        </w:tc>
      </w:tr>
      <w:tr w:rsidR="00CF1B66" w14:paraId="439E9831" w14:textId="77777777">
        <w:tc>
          <w:tcPr>
            <w:tcW w:w="20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D01C61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Заемные средства других организаций</w:t>
            </w:r>
          </w:p>
        </w:tc>
        <w:tc>
          <w:tcPr>
            <w:tcW w:w="7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5CDD966B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sz w:val="19"/>
              </w:rPr>
              <w:t>5,9</w:t>
            </w:r>
          </w:p>
        </w:tc>
        <w:tc>
          <w:tcPr>
            <w:tcW w:w="87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3BE07744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sz w:val="19"/>
              </w:rPr>
              <w:t>7,6</w:t>
            </w:r>
          </w:p>
        </w:tc>
        <w:tc>
          <w:tcPr>
            <w:tcW w:w="82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2D4C30DD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sz w:val="19"/>
              </w:rPr>
              <w:t>8,9</w:t>
            </w:r>
          </w:p>
        </w:tc>
        <w:tc>
          <w:tcPr>
            <w:tcW w:w="72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5EFB5ADC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sz w:val="19"/>
              </w:rPr>
              <w:t>7,3</w:t>
            </w:r>
          </w:p>
        </w:tc>
        <w:tc>
          <w:tcPr>
            <w:tcW w:w="96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D99C2F" w14:textId="77777777" w:rsidR="00CF1B66" w:rsidRDefault="00994877">
            <w:pPr>
              <w:jc w:val="center"/>
              <w:rPr>
                <w:rFonts w:ascii="Arial" w:hAnsi="Arial"/>
                <w:color w:val="0F7B3F"/>
                <w:sz w:val="19"/>
              </w:rPr>
            </w:pPr>
            <w:r>
              <w:rPr>
                <w:rFonts w:ascii="Arial" w:hAnsi="Arial"/>
                <w:color w:val="0F7B3F"/>
                <w:sz w:val="19"/>
              </w:rPr>
              <w:t>+1,4 п.п.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left w:w="10" w:type="dxa"/>
              <w:right w:w="10" w:type="dxa"/>
            </w:tcMar>
          </w:tcPr>
          <w:p w14:paraId="1649B75B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9,0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left w:w="10" w:type="dxa"/>
              <w:right w:w="10" w:type="dxa"/>
            </w:tcMar>
          </w:tcPr>
          <w:p w14:paraId="250BD056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10,2</w:t>
            </w:r>
          </w:p>
        </w:tc>
        <w:tc>
          <w:tcPr>
            <w:tcW w:w="111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left w:w="10" w:type="dxa"/>
              <w:right w:w="10" w:type="dxa"/>
            </w:tcMar>
          </w:tcPr>
          <w:p w14:paraId="51444883" w14:textId="77777777" w:rsidR="00CF1B66" w:rsidRDefault="00994877">
            <w:pPr>
              <w:jc w:val="center"/>
              <w:rPr>
                <w:rFonts w:ascii="Arial" w:hAnsi="Arial"/>
                <w:color w:val="0F7B3F"/>
                <w:sz w:val="19"/>
              </w:rPr>
            </w:pPr>
            <w:r>
              <w:rPr>
                <w:rFonts w:ascii="Arial" w:hAnsi="Arial"/>
                <w:color w:val="0F7B3F"/>
                <w:sz w:val="19"/>
              </w:rPr>
              <w:t>+1,2 п.п.</w:t>
            </w:r>
          </w:p>
        </w:tc>
      </w:tr>
      <w:tr w:rsidR="00CF1B66" w14:paraId="610F9608" w14:textId="77777777">
        <w:tc>
          <w:tcPr>
            <w:tcW w:w="20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415808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Инвестиции из-за рубежа</w:t>
            </w:r>
          </w:p>
        </w:tc>
        <w:tc>
          <w:tcPr>
            <w:tcW w:w="7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03DB08A5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sz w:val="19"/>
              </w:rPr>
              <w:t>0,3</w:t>
            </w:r>
          </w:p>
        </w:tc>
        <w:tc>
          <w:tcPr>
            <w:tcW w:w="87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04E75E56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sz w:val="19"/>
              </w:rPr>
              <w:t>0,1</w:t>
            </w:r>
          </w:p>
        </w:tc>
        <w:tc>
          <w:tcPr>
            <w:tcW w:w="82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3B1ACC27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sz w:val="19"/>
              </w:rPr>
              <w:t>0,0</w:t>
            </w:r>
          </w:p>
        </w:tc>
        <w:tc>
          <w:tcPr>
            <w:tcW w:w="72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0E16D5E1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sz w:val="19"/>
              </w:rPr>
              <w:t>0,1</w:t>
            </w:r>
          </w:p>
        </w:tc>
        <w:tc>
          <w:tcPr>
            <w:tcW w:w="96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17C6D2" w14:textId="77777777" w:rsidR="00CF1B66" w:rsidRDefault="00994877">
            <w:pPr>
              <w:jc w:val="center"/>
              <w:rPr>
                <w:rFonts w:ascii="Arial" w:hAnsi="Arial"/>
                <w:color w:val="8B1E1E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–0,2 п.п.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left w:w="10" w:type="dxa"/>
              <w:right w:w="10" w:type="dxa"/>
            </w:tcMar>
          </w:tcPr>
          <w:p w14:paraId="343334F7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0,01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left w:w="10" w:type="dxa"/>
              <w:right w:w="10" w:type="dxa"/>
            </w:tcMar>
          </w:tcPr>
          <w:p w14:paraId="2B83B6EE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0,1</w:t>
            </w:r>
          </w:p>
        </w:tc>
        <w:tc>
          <w:tcPr>
            <w:tcW w:w="111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left w:w="10" w:type="dxa"/>
              <w:right w:w="10" w:type="dxa"/>
            </w:tcMar>
          </w:tcPr>
          <w:p w14:paraId="770DA212" w14:textId="77777777" w:rsidR="00CF1B66" w:rsidRDefault="00994877">
            <w:pPr>
              <w:jc w:val="center"/>
              <w:rPr>
                <w:rFonts w:ascii="Arial" w:hAnsi="Arial"/>
                <w:color w:val="0F7B3F"/>
                <w:sz w:val="19"/>
              </w:rPr>
            </w:pPr>
            <w:r>
              <w:rPr>
                <w:rFonts w:ascii="Arial" w:hAnsi="Arial"/>
                <w:color w:val="0F7B3F"/>
                <w:sz w:val="19"/>
              </w:rPr>
              <w:t>+0,09 п.п.</w:t>
            </w:r>
          </w:p>
        </w:tc>
      </w:tr>
      <w:tr w:rsidR="00CF1B66" w14:paraId="72274800" w14:textId="77777777">
        <w:tc>
          <w:tcPr>
            <w:tcW w:w="20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FB96BC" w14:textId="77777777" w:rsidR="00CF1B66" w:rsidRDefault="00994877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Бюджетные средства — всего</w:t>
            </w:r>
          </w:p>
        </w:tc>
        <w:tc>
          <w:tcPr>
            <w:tcW w:w="7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27D27E5E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20,5</w:t>
            </w:r>
          </w:p>
        </w:tc>
        <w:tc>
          <w:tcPr>
            <w:tcW w:w="87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5146AE58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19,7</w:t>
            </w:r>
          </w:p>
        </w:tc>
        <w:tc>
          <w:tcPr>
            <w:tcW w:w="82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1F9B49C7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16,6</w:t>
            </w:r>
          </w:p>
        </w:tc>
        <w:tc>
          <w:tcPr>
            <w:tcW w:w="72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236A08AC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15,2</w:t>
            </w:r>
          </w:p>
        </w:tc>
        <w:tc>
          <w:tcPr>
            <w:tcW w:w="96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DB7CDC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−5,3 п.п.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left w:w="10" w:type="dxa"/>
              <w:right w:w="10" w:type="dxa"/>
            </w:tcMar>
          </w:tcPr>
          <w:p w14:paraId="4051DD9D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9,7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left w:w="10" w:type="dxa"/>
              <w:right w:w="10" w:type="dxa"/>
            </w:tcMar>
          </w:tcPr>
          <w:p w14:paraId="1FAF93C6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9,8</w:t>
            </w:r>
          </w:p>
        </w:tc>
        <w:tc>
          <w:tcPr>
            <w:tcW w:w="111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left w:w="10" w:type="dxa"/>
              <w:right w:w="10" w:type="dxa"/>
            </w:tcMar>
          </w:tcPr>
          <w:p w14:paraId="2DC4CE33" w14:textId="77777777" w:rsidR="00CF1B66" w:rsidRDefault="00994877">
            <w:pPr>
              <w:jc w:val="center"/>
              <w:rPr>
                <w:rFonts w:ascii="Arial" w:hAnsi="Arial"/>
                <w:color w:val="0F7B3F"/>
                <w:sz w:val="19"/>
              </w:rPr>
            </w:pPr>
            <w:r>
              <w:rPr>
                <w:rFonts w:ascii="Arial" w:hAnsi="Arial"/>
                <w:color w:val="0F7B3F"/>
                <w:sz w:val="19"/>
              </w:rPr>
              <w:t>+0,1 п.п.</w:t>
            </w:r>
          </w:p>
        </w:tc>
      </w:tr>
      <w:tr w:rsidR="00CF1B66" w14:paraId="253AF761" w14:textId="77777777">
        <w:tc>
          <w:tcPr>
            <w:tcW w:w="20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022128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— федеральный бюджет</w:t>
            </w:r>
          </w:p>
        </w:tc>
        <w:tc>
          <w:tcPr>
            <w:tcW w:w="7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34BEF0CC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9,8</w:t>
            </w:r>
          </w:p>
        </w:tc>
        <w:tc>
          <w:tcPr>
            <w:tcW w:w="87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1C287FDA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9,3</w:t>
            </w:r>
          </w:p>
        </w:tc>
        <w:tc>
          <w:tcPr>
            <w:tcW w:w="82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58BD9B72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7,9</w:t>
            </w:r>
          </w:p>
        </w:tc>
        <w:tc>
          <w:tcPr>
            <w:tcW w:w="72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7D0148AA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6,9</w:t>
            </w:r>
          </w:p>
        </w:tc>
        <w:tc>
          <w:tcPr>
            <w:tcW w:w="96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DA34F" w14:textId="77777777" w:rsidR="00CF1B66" w:rsidRDefault="00994877">
            <w:pPr>
              <w:jc w:val="center"/>
              <w:rPr>
                <w:rFonts w:ascii="Arial" w:hAnsi="Arial"/>
                <w:color w:val="8B1E1E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−2,9 п.п.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left w:w="10" w:type="dxa"/>
              <w:right w:w="10" w:type="dxa"/>
            </w:tcMar>
          </w:tcPr>
          <w:p w14:paraId="7E7EE9C8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4,1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left w:w="10" w:type="dxa"/>
              <w:right w:w="10" w:type="dxa"/>
            </w:tcMar>
          </w:tcPr>
          <w:p w14:paraId="65DBA6EC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4,5</w:t>
            </w:r>
          </w:p>
        </w:tc>
        <w:tc>
          <w:tcPr>
            <w:tcW w:w="111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left w:w="10" w:type="dxa"/>
              <w:right w:w="10" w:type="dxa"/>
            </w:tcMar>
          </w:tcPr>
          <w:p w14:paraId="369FA2F2" w14:textId="77777777" w:rsidR="00CF1B66" w:rsidRDefault="00994877">
            <w:pPr>
              <w:jc w:val="center"/>
              <w:rPr>
                <w:rFonts w:ascii="Arial" w:hAnsi="Arial"/>
                <w:color w:val="8B1E1E"/>
                <w:sz w:val="19"/>
              </w:rPr>
            </w:pPr>
            <w:r>
              <w:rPr>
                <w:rFonts w:ascii="Arial" w:hAnsi="Arial"/>
                <w:color w:val="0F7B3F"/>
                <w:sz w:val="19"/>
              </w:rPr>
              <w:t>+0,4 п.п.</w:t>
            </w:r>
          </w:p>
        </w:tc>
      </w:tr>
      <w:tr w:rsidR="00CF1B66" w14:paraId="689C1EB5" w14:textId="77777777">
        <w:tc>
          <w:tcPr>
            <w:tcW w:w="20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31196E" w14:textId="77777777" w:rsidR="00CF1B66" w:rsidRDefault="00994877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— региональные + местные</w:t>
            </w:r>
          </w:p>
        </w:tc>
        <w:tc>
          <w:tcPr>
            <w:tcW w:w="7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10A97EF5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10,7</w:t>
            </w:r>
          </w:p>
        </w:tc>
        <w:tc>
          <w:tcPr>
            <w:tcW w:w="87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5178495B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10,4</w:t>
            </w:r>
          </w:p>
        </w:tc>
        <w:tc>
          <w:tcPr>
            <w:tcW w:w="82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0EA3056C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8,7</w:t>
            </w:r>
          </w:p>
        </w:tc>
        <w:tc>
          <w:tcPr>
            <w:tcW w:w="72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1F13C027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8,3</w:t>
            </w:r>
          </w:p>
        </w:tc>
        <w:tc>
          <w:tcPr>
            <w:tcW w:w="96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BF4952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−2,4 п.п.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left w:w="10" w:type="dxa"/>
              <w:right w:w="10" w:type="dxa"/>
            </w:tcMar>
          </w:tcPr>
          <w:p w14:paraId="6C6CAE9F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5,6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left w:w="10" w:type="dxa"/>
              <w:right w:w="10" w:type="dxa"/>
            </w:tcMar>
          </w:tcPr>
          <w:p w14:paraId="2073EFD1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5,3</w:t>
            </w:r>
          </w:p>
        </w:tc>
        <w:tc>
          <w:tcPr>
            <w:tcW w:w="111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left w:w="10" w:type="dxa"/>
              <w:right w:w="10" w:type="dxa"/>
            </w:tcMar>
          </w:tcPr>
          <w:p w14:paraId="1AC3E7B1" w14:textId="77777777" w:rsidR="00CF1B66" w:rsidRDefault="00994877">
            <w:pPr>
              <w:jc w:val="center"/>
              <w:rPr>
                <w:rFonts w:ascii="Arial" w:hAnsi="Arial"/>
                <w:color w:val="8B1E1E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–0,3 п.п.</w:t>
            </w:r>
          </w:p>
        </w:tc>
      </w:tr>
      <w:tr w:rsidR="00CF1B66" w14:paraId="312E8BF1" w14:textId="77777777">
        <w:tc>
          <w:tcPr>
            <w:tcW w:w="20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52E271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Средства государственных внебюджетных фондов</w:t>
            </w:r>
          </w:p>
        </w:tc>
        <w:tc>
          <w:tcPr>
            <w:tcW w:w="7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2EC5D6FA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sz w:val="19"/>
              </w:rPr>
              <w:t>0,2</w:t>
            </w:r>
          </w:p>
        </w:tc>
        <w:tc>
          <w:tcPr>
            <w:tcW w:w="87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76D50B0F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sz w:val="19"/>
              </w:rPr>
              <w:t>0,1</w:t>
            </w:r>
          </w:p>
        </w:tc>
        <w:tc>
          <w:tcPr>
            <w:tcW w:w="82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66164146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sz w:val="19"/>
              </w:rPr>
              <w:t>0,1</w:t>
            </w:r>
          </w:p>
        </w:tc>
        <w:tc>
          <w:tcPr>
            <w:tcW w:w="72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7ED2F9F6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sz w:val="19"/>
              </w:rPr>
              <w:t>0,2</w:t>
            </w:r>
          </w:p>
        </w:tc>
        <w:tc>
          <w:tcPr>
            <w:tcW w:w="96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CC42E8" w14:textId="77777777" w:rsidR="00CF1B66" w:rsidRDefault="00994877">
            <w:pPr>
              <w:jc w:val="center"/>
              <w:rPr>
                <w:rFonts w:ascii="Arial" w:hAnsi="Arial"/>
                <w:color w:val="8B1E1E"/>
                <w:sz w:val="19"/>
              </w:rPr>
            </w:pPr>
            <w:r>
              <w:rPr>
                <w:rFonts w:ascii="Arial" w:hAnsi="Arial"/>
                <w:color w:val="0F7B3F"/>
                <w:sz w:val="19"/>
              </w:rPr>
              <w:t>+0,1 п.п.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left w:w="10" w:type="dxa"/>
              <w:right w:w="10" w:type="dxa"/>
            </w:tcMar>
          </w:tcPr>
          <w:p w14:paraId="7D2FB7E3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0,2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left w:w="10" w:type="dxa"/>
              <w:right w:w="10" w:type="dxa"/>
            </w:tcMar>
          </w:tcPr>
          <w:p w14:paraId="2AAE782D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0,1</w:t>
            </w:r>
          </w:p>
        </w:tc>
        <w:tc>
          <w:tcPr>
            <w:tcW w:w="111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left w:w="10" w:type="dxa"/>
              <w:right w:w="10" w:type="dxa"/>
            </w:tcMar>
          </w:tcPr>
          <w:p w14:paraId="024521CE" w14:textId="77777777" w:rsidR="00CF1B66" w:rsidRDefault="00994877">
            <w:pPr>
              <w:jc w:val="center"/>
              <w:rPr>
                <w:rFonts w:ascii="Arial" w:hAnsi="Arial"/>
                <w:color w:val="0F7B3F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–0,1 п.п.</w:t>
            </w:r>
          </w:p>
        </w:tc>
      </w:tr>
      <w:tr w:rsidR="00CF1B66" w14:paraId="1435B486" w14:textId="77777777">
        <w:tc>
          <w:tcPr>
            <w:tcW w:w="20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BB678E" w14:textId="77777777" w:rsidR="00CF1B66" w:rsidRDefault="00994877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Прочие привлеченные средства</w:t>
            </w:r>
          </w:p>
        </w:tc>
        <w:tc>
          <w:tcPr>
            <w:tcW w:w="727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6D809C9B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9,8</w:t>
            </w:r>
          </w:p>
        </w:tc>
        <w:tc>
          <w:tcPr>
            <w:tcW w:w="87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7A04E755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8,9</w:t>
            </w:r>
          </w:p>
        </w:tc>
        <w:tc>
          <w:tcPr>
            <w:tcW w:w="82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292B9FFE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6,6</w:t>
            </w:r>
          </w:p>
        </w:tc>
        <w:tc>
          <w:tcPr>
            <w:tcW w:w="72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09A58D59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5,3</w:t>
            </w:r>
          </w:p>
        </w:tc>
        <w:tc>
          <w:tcPr>
            <w:tcW w:w="96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2C3A0B" w14:textId="77777777" w:rsidR="00CF1B66" w:rsidRDefault="00994877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−4,5 п.п.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left w:w="10" w:type="dxa"/>
              <w:right w:w="10" w:type="dxa"/>
            </w:tcMar>
          </w:tcPr>
          <w:p w14:paraId="4EBB8000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4,0</w:t>
            </w:r>
          </w:p>
        </w:tc>
        <w:tc>
          <w:tcPr>
            <w:tcW w:w="124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left w:w="10" w:type="dxa"/>
              <w:right w:w="10" w:type="dxa"/>
            </w:tcMar>
          </w:tcPr>
          <w:p w14:paraId="0A2A6F32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3,2</w:t>
            </w:r>
          </w:p>
        </w:tc>
        <w:tc>
          <w:tcPr>
            <w:tcW w:w="111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left w:w="10" w:type="dxa"/>
              <w:right w:w="10" w:type="dxa"/>
            </w:tcMar>
          </w:tcPr>
          <w:p w14:paraId="18F899EC" w14:textId="77777777" w:rsidR="00CF1B66" w:rsidRDefault="00994877">
            <w:pPr>
              <w:jc w:val="center"/>
              <w:rPr>
                <w:rFonts w:ascii="Arial" w:hAnsi="Arial"/>
                <w:color w:val="8B1E1E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–0,8 п.п.</w:t>
            </w:r>
          </w:p>
        </w:tc>
      </w:tr>
    </w:tbl>
    <w:p w14:paraId="6B5B3E96" w14:textId="77777777" w:rsidR="00CF1B66" w:rsidRDefault="00994877">
      <w:pPr>
        <w:spacing w:before="40" w:after="200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 xml:space="preserve">Источник: </w:t>
      </w:r>
      <w:hyperlink r:id="rId23" w:history="1">
        <w:r>
          <w:rPr>
            <w:rStyle w:val="ac"/>
            <w:rFonts w:ascii="Arial" w:hAnsi="Arial"/>
            <w:i/>
            <w:sz w:val="17"/>
          </w:rPr>
          <w:t>Росстат</w:t>
        </w:r>
      </w:hyperlink>
    </w:p>
    <w:p w14:paraId="267CEC64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Ключевая ставка и инвестиционное кредитование</w:t>
      </w:r>
    </w:p>
    <w:p w14:paraId="21858163" w14:textId="77777777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 xml:space="preserve">Снижение ключевой ставки в I кв. 2026 — с 16% в декабре 2025 г. до 14,5% в апреле 2026 г. — пока не транслировалось в рост инвестиционного кредитования. Банк России в Резюме обсуждения ключевой ставки 7 мая 2026 г. </w:t>
      </w:r>
      <w:hyperlink r:id="rId24" w:history="1">
        <w:r>
          <w:rPr>
            <w:rStyle w:val="ac"/>
            <w:rFonts w:ascii="Arial" w:hAnsi="Arial"/>
          </w:rPr>
          <w:t>указывает</w:t>
        </w:r>
      </w:hyperlink>
      <w:r>
        <w:rPr>
          <w:rFonts w:ascii="Arial" w:hAnsi="Arial"/>
          <w:color w:val="1A1A1A"/>
        </w:rPr>
        <w:t>: «Низкие темпы роста корпоративного кредитования в 1к26 были связаны с активным авансированием государственных расходов, что снижало потребность части компаний в банковском финансировании. Кроме того, предприятия более сдержанно привлекали заемные средства на фоне более умеренной инвестиционной активности».</w:t>
      </w:r>
    </w:p>
    <w:p w14:paraId="19C16A44" w14:textId="77777777" w:rsidR="00CF1B66" w:rsidRDefault="00994877">
      <w:pPr>
        <w:spacing w:before="160" w:after="80"/>
        <w:rPr>
          <w:rFonts w:ascii="Arial" w:hAnsi="Arial"/>
        </w:rPr>
      </w:pPr>
      <w:r>
        <w:rPr>
          <w:rFonts w:ascii="Arial" w:hAnsi="Arial"/>
          <w:b/>
          <w:color w:val="01696F"/>
          <w:sz w:val="19"/>
        </w:rPr>
        <w:t xml:space="preserve">Таблица 3.2. </w:t>
      </w:r>
      <w:r>
        <w:rPr>
          <w:rFonts w:ascii="Arial" w:hAnsi="Arial"/>
          <w:b/>
          <w:color w:val="1A1A1A"/>
          <w:sz w:val="19"/>
        </w:rPr>
        <w:t>Хронология ключевой ставки ЦБ РФ, IV кв. 2025 – II кв. 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400"/>
        <w:gridCol w:w="3346"/>
      </w:tblGrid>
      <w:tr w:rsidR="00CF1B66" w14:paraId="681B4FD8" w14:textId="77777777">
        <w:trPr>
          <w:tblHeader/>
        </w:trPr>
        <w:tc>
          <w:tcPr>
            <w:tcW w:w="30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C166821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Дата заседания</w:t>
            </w:r>
          </w:p>
        </w:tc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A58104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Ключевая ставка</w:t>
            </w:r>
          </w:p>
        </w:tc>
        <w:tc>
          <w:tcPr>
            <w:tcW w:w="3346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537E26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Изменение</w:t>
            </w:r>
          </w:p>
        </w:tc>
      </w:tr>
      <w:tr w:rsidR="00CF1B66" w14:paraId="7C8A086B" w14:textId="77777777"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D2FBB7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25 октября 2024</w:t>
            </w:r>
          </w:p>
        </w:tc>
        <w:tc>
          <w:tcPr>
            <w:tcW w:w="34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0F8B0D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8B1E1E"/>
                <w:sz w:val="19"/>
              </w:rPr>
              <w:t>21,0%</w:t>
            </w:r>
          </w:p>
        </w:tc>
        <w:tc>
          <w:tcPr>
            <w:tcW w:w="33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563707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Пик цикла</w:t>
            </w:r>
          </w:p>
        </w:tc>
      </w:tr>
      <w:tr w:rsidR="00CF1B66" w14:paraId="3F7076D8" w14:textId="77777777"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71DAE5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6 июня 2025</w:t>
            </w:r>
          </w:p>
        </w:tc>
        <w:tc>
          <w:tcPr>
            <w:tcW w:w="34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E75DED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20,0%</w:t>
            </w:r>
          </w:p>
        </w:tc>
        <w:tc>
          <w:tcPr>
            <w:tcW w:w="33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0B4C08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–100 б.п.</w:t>
            </w:r>
          </w:p>
        </w:tc>
      </w:tr>
      <w:tr w:rsidR="00CF1B66" w14:paraId="60229FE1" w14:textId="77777777"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8C0F30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25 июля 2025</w:t>
            </w:r>
          </w:p>
        </w:tc>
        <w:tc>
          <w:tcPr>
            <w:tcW w:w="34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2F92A9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18,0%</w:t>
            </w:r>
          </w:p>
        </w:tc>
        <w:tc>
          <w:tcPr>
            <w:tcW w:w="33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1A184B" w14:textId="77777777" w:rsidR="00CF1B66" w:rsidRDefault="00994877">
            <w:pPr>
              <w:jc w:val="center"/>
              <w:rPr>
                <w:rFonts w:ascii="Arial" w:hAnsi="Arial"/>
                <w:color w:val="0F7B3F"/>
                <w:sz w:val="19"/>
              </w:rPr>
            </w:pPr>
            <w:r>
              <w:rPr>
                <w:rFonts w:ascii="Arial" w:hAnsi="Arial"/>
                <w:color w:val="0F7B3F"/>
                <w:sz w:val="19"/>
              </w:rPr>
              <w:t>–200 б.п.</w:t>
            </w:r>
          </w:p>
        </w:tc>
      </w:tr>
      <w:tr w:rsidR="00CF1B66" w14:paraId="4BFF3731" w14:textId="77777777"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5C6224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12 сентября 2025</w:t>
            </w:r>
          </w:p>
        </w:tc>
        <w:tc>
          <w:tcPr>
            <w:tcW w:w="34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2DCC08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17,0%</w:t>
            </w:r>
          </w:p>
        </w:tc>
        <w:tc>
          <w:tcPr>
            <w:tcW w:w="33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F9174B" w14:textId="77777777" w:rsidR="00CF1B66" w:rsidRDefault="00994877">
            <w:pPr>
              <w:jc w:val="center"/>
              <w:rPr>
                <w:rFonts w:ascii="Arial" w:hAnsi="Arial"/>
                <w:color w:val="0F7B3F"/>
                <w:sz w:val="19"/>
              </w:rPr>
            </w:pPr>
            <w:r>
              <w:rPr>
                <w:rFonts w:ascii="Arial" w:hAnsi="Arial"/>
                <w:color w:val="0F7B3F"/>
                <w:sz w:val="19"/>
              </w:rPr>
              <w:t>–100 б.п.</w:t>
            </w:r>
          </w:p>
        </w:tc>
      </w:tr>
      <w:tr w:rsidR="00CF1B66" w14:paraId="35230910" w14:textId="77777777"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F52D52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14 октября 2025</w:t>
            </w:r>
          </w:p>
        </w:tc>
        <w:tc>
          <w:tcPr>
            <w:tcW w:w="34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D85718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16,5%</w:t>
            </w:r>
          </w:p>
        </w:tc>
        <w:tc>
          <w:tcPr>
            <w:tcW w:w="33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91DEF4" w14:textId="77777777" w:rsidR="00CF1B66" w:rsidRDefault="00994877">
            <w:pPr>
              <w:jc w:val="center"/>
              <w:rPr>
                <w:rFonts w:ascii="Arial" w:hAnsi="Arial"/>
                <w:color w:val="0F7B3F"/>
                <w:sz w:val="19"/>
              </w:rPr>
            </w:pPr>
            <w:r>
              <w:rPr>
                <w:rFonts w:ascii="Arial" w:hAnsi="Arial"/>
                <w:color w:val="0F7B3F"/>
                <w:sz w:val="19"/>
              </w:rPr>
              <w:t>−50 б.п.</w:t>
            </w:r>
          </w:p>
        </w:tc>
      </w:tr>
      <w:tr w:rsidR="00CF1B66" w14:paraId="6242F6A9" w14:textId="77777777"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1F7D29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19 декабря 2025</w:t>
            </w:r>
          </w:p>
        </w:tc>
        <w:tc>
          <w:tcPr>
            <w:tcW w:w="34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115945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16,0%</w:t>
            </w:r>
          </w:p>
        </w:tc>
        <w:tc>
          <w:tcPr>
            <w:tcW w:w="33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9AA1ED" w14:textId="77777777" w:rsidR="00CF1B66" w:rsidRDefault="00994877">
            <w:pPr>
              <w:jc w:val="center"/>
              <w:rPr>
                <w:rFonts w:ascii="Arial" w:hAnsi="Arial"/>
                <w:color w:val="0F7B3F"/>
                <w:sz w:val="19"/>
              </w:rPr>
            </w:pPr>
            <w:r>
              <w:rPr>
                <w:rFonts w:ascii="Arial" w:hAnsi="Arial"/>
                <w:color w:val="0F7B3F"/>
                <w:sz w:val="19"/>
              </w:rPr>
              <w:t>−50 б.п.</w:t>
            </w:r>
          </w:p>
        </w:tc>
      </w:tr>
      <w:tr w:rsidR="00CF1B66" w14:paraId="2976E32A" w14:textId="77777777"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FD8B02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13 февраля 2026</w:t>
            </w:r>
          </w:p>
        </w:tc>
        <w:tc>
          <w:tcPr>
            <w:tcW w:w="34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CAAEDB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15,5%</w:t>
            </w:r>
          </w:p>
        </w:tc>
        <w:tc>
          <w:tcPr>
            <w:tcW w:w="33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A2ED4F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−50 б.п.</w:t>
            </w:r>
          </w:p>
        </w:tc>
      </w:tr>
      <w:tr w:rsidR="00CF1B66" w14:paraId="09D166D7" w14:textId="77777777"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F598A6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20 марта 2026</w:t>
            </w:r>
          </w:p>
        </w:tc>
        <w:tc>
          <w:tcPr>
            <w:tcW w:w="34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EE02B3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15,0%</w:t>
            </w:r>
          </w:p>
        </w:tc>
        <w:tc>
          <w:tcPr>
            <w:tcW w:w="33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EA8A88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0F7B3F"/>
                <w:sz w:val="19"/>
              </w:rPr>
              <w:t>−50 б.п.</w:t>
            </w:r>
          </w:p>
        </w:tc>
      </w:tr>
      <w:tr w:rsidR="00CF1B66" w14:paraId="6091775C" w14:textId="77777777">
        <w:tc>
          <w:tcPr>
            <w:tcW w:w="30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62FB01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24 апреля 2026</w:t>
            </w:r>
          </w:p>
        </w:tc>
        <w:tc>
          <w:tcPr>
            <w:tcW w:w="34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443859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14,5%</w:t>
            </w:r>
          </w:p>
        </w:tc>
        <w:tc>
          <w:tcPr>
            <w:tcW w:w="33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325FCA" w14:textId="77777777" w:rsidR="00CF1B66" w:rsidRDefault="00994877">
            <w:pPr>
              <w:jc w:val="center"/>
              <w:rPr>
                <w:rFonts w:ascii="Arial" w:hAnsi="Arial"/>
                <w:color w:val="0F7B3F"/>
                <w:sz w:val="19"/>
              </w:rPr>
            </w:pPr>
            <w:r>
              <w:rPr>
                <w:rFonts w:ascii="Arial" w:hAnsi="Arial"/>
                <w:color w:val="0F7B3F"/>
                <w:sz w:val="19"/>
              </w:rPr>
              <w:t>−50 б.п.</w:t>
            </w:r>
          </w:p>
        </w:tc>
      </w:tr>
    </w:tbl>
    <w:p w14:paraId="479D005A" w14:textId="77777777" w:rsidR="00CF1B66" w:rsidRDefault="00994877">
      <w:pPr>
        <w:spacing w:before="40" w:after="200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 xml:space="preserve">Источник: </w:t>
      </w:r>
      <w:hyperlink r:id="rId25" w:history="1">
        <w:r>
          <w:rPr>
            <w:rStyle w:val="ac"/>
            <w:rFonts w:ascii="Arial" w:hAnsi="Arial"/>
            <w:i/>
            <w:sz w:val="17"/>
          </w:rPr>
          <w:t>Банк России, информация о ключевой ставке</w:t>
        </w:r>
      </w:hyperlink>
    </w:p>
    <w:p w14:paraId="6D23672A" w14:textId="77777777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 xml:space="preserve">Несмотря на смягчение ДКП, лаг трансмиссии остается длинным: на принятие инвестиционных решений влияет не только текущая ставка, но и ожидания ее траектории, а также сальдированный финансовый результат предприятий (по итогам 2025 г. </w:t>
      </w:r>
      <w:hyperlink r:id="rId26" w:history="1">
        <w:r>
          <w:rPr>
            <w:rStyle w:val="ac"/>
            <w:rFonts w:ascii="Arial" w:hAnsi="Arial"/>
          </w:rPr>
          <w:t>снизился</w:t>
        </w:r>
      </w:hyperlink>
      <w:r>
        <w:rPr>
          <w:rFonts w:ascii="Arial" w:hAnsi="Arial"/>
          <w:color w:val="1A1A1A"/>
        </w:rPr>
        <w:t xml:space="preserve"> на 3,9% г/г). Кроме того, средняя доходность срочных депозитов в банках в I кв. 2026 оставалась на уровне 13,25%, что создавало высокую альтернативную стоимость капитала и стимулировало компании держать средства в финансовых активах вместо реальных инвестиций.</w:t>
      </w:r>
    </w:p>
    <w:p w14:paraId="0239BABC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ФНБ: мораторий на новые проекты</w:t>
      </w:r>
    </w:p>
    <w:p w14:paraId="7BBD772A" w14:textId="77777777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 xml:space="preserve">Ликвидная часть Фонда национального благосостояния на начало мая 2026 г. </w:t>
      </w:r>
      <w:hyperlink r:id="rId27" w:history="1">
        <w:r>
          <w:rPr>
            <w:rStyle w:val="ac"/>
            <w:rFonts w:ascii="Arial" w:hAnsi="Arial"/>
          </w:rPr>
          <w:t>составляла</w:t>
        </w:r>
      </w:hyperlink>
      <w:r>
        <w:rPr>
          <w:rFonts w:ascii="Arial" w:hAnsi="Arial"/>
          <w:color w:val="1A1A1A"/>
        </w:rPr>
        <w:t xml:space="preserve"> 3,6 трлн руб. (~48,4 млрд долл., около 1,5% ВВП). По данным СМИ, в начале 2026 г. введен фактический мораторий на новые выделения средств из ФНБ на инвестпроекты: позиция Минфина — «чтобы из ФНБ больше денег не выделять». В январе 2026 г. на покрытие дефицита бюджета </w:t>
      </w:r>
      <w:hyperlink r:id="rId28" w:history="1">
        <w:r>
          <w:rPr>
            <w:rStyle w:val="ac"/>
            <w:rFonts w:ascii="Arial" w:hAnsi="Arial"/>
          </w:rPr>
          <w:t>направлено</w:t>
        </w:r>
      </w:hyperlink>
      <w:r>
        <w:rPr>
          <w:rFonts w:ascii="Arial" w:hAnsi="Arial"/>
          <w:color w:val="1A1A1A"/>
        </w:rPr>
        <w:t xml:space="preserve"> 192,1 млрд руб., в феврале — еще 226,8 млрд руб. Из планировавшихся на 2026 г. 700 млрд руб. на инвестпроекты значительная часть может быть перенаправлена на закрытие бюджетной бреши.</w:t>
      </w:r>
    </w:p>
    <w:p w14:paraId="2E91814B" w14:textId="77777777" w:rsidR="00CF1B66" w:rsidRDefault="00994877">
      <w:pPr>
        <w:spacing w:before="160" w:after="80"/>
        <w:rPr>
          <w:rFonts w:ascii="Arial" w:hAnsi="Arial"/>
        </w:rPr>
      </w:pPr>
      <w:r>
        <w:rPr>
          <w:rFonts w:ascii="Arial" w:hAnsi="Arial"/>
          <w:b/>
          <w:color w:val="01696F"/>
          <w:sz w:val="19"/>
        </w:rPr>
        <w:t xml:space="preserve">Таблица 3.3. </w:t>
      </w:r>
      <w:r>
        <w:rPr>
          <w:rFonts w:ascii="Arial" w:hAnsi="Arial"/>
          <w:b/>
          <w:color w:val="1A1A1A"/>
          <w:sz w:val="19"/>
        </w:rPr>
        <w:t>Крупные проекты с финансированием из ФНБ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0"/>
        <w:gridCol w:w="2646"/>
      </w:tblGrid>
      <w:tr w:rsidR="00CF1B66" w14:paraId="1478D43E" w14:textId="77777777">
        <w:trPr>
          <w:tblHeader/>
          <w:jc w:val="center"/>
        </w:trPr>
        <w:tc>
          <w:tcPr>
            <w:tcW w:w="49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F19EE8B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Проект</w:t>
            </w:r>
          </w:p>
        </w:tc>
        <w:tc>
          <w:tcPr>
            <w:tcW w:w="2646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0E10B3C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Стадия</w:t>
            </w:r>
          </w:p>
        </w:tc>
      </w:tr>
      <w:tr w:rsidR="00CF1B66" w14:paraId="4707BE5F" w14:textId="77777777">
        <w:trPr>
          <w:jc w:val="center"/>
        </w:trPr>
        <w:tc>
          <w:tcPr>
            <w:tcW w:w="4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730106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Российские автодороги (Автодор, облигации)</w:t>
            </w:r>
          </w:p>
        </w:tc>
        <w:tc>
          <w:tcPr>
            <w:tcW w:w="26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FB2D5B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Действующее</w:t>
            </w:r>
          </w:p>
        </w:tc>
      </w:tr>
      <w:tr w:rsidR="00CF1B66" w14:paraId="6167B96C" w14:textId="77777777">
        <w:trPr>
          <w:jc w:val="center"/>
        </w:trPr>
        <w:tc>
          <w:tcPr>
            <w:tcW w:w="4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1F12D7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Балтийский химический комплекс (Усть-Луга, Газпром / Русгаздобыча)</w:t>
            </w:r>
          </w:p>
        </w:tc>
        <w:tc>
          <w:tcPr>
            <w:tcW w:w="26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226ACB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Стройка с 2021 г.</w:t>
            </w:r>
          </w:p>
        </w:tc>
      </w:tr>
      <w:tr w:rsidR="00CF1B66" w14:paraId="6A6C1B34" w14:textId="77777777">
        <w:trPr>
          <w:jc w:val="center"/>
        </w:trPr>
        <w:tc>
          <w:tcPr>
            <w:tcW w:w="4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414F9B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ВСМ Москва – Санкт-Петербург (РЖД)</w:t>
            </w:r>
          </w:p>
        </w:tc>
        <w:tc>
          <w:tcPr>
            <w:tcW w:w="26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97D250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Строительство с 2024 г.</w:t>
            </w:r>
          </w:p>
        </w:tc>
      </w:tr>
      <w:tr w:rsidR="00CF1B66" w14:paraId="5BBB88B3" w14:textId="77777777">
        <w:trPr>
          <w:jc w:val="center"/>
        </w:trPr>
        <w:tc>
          <w:tcPr>
            <w:tcW w:w="4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5C996B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Программа развития авиационной промышленности (Ростех)</w:t>
            </w:r>
          </w:p>
        </w:tc>
        <w:tc>
          <w:tcPr>
            <w:tcW w:w="26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767D8F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Серийные поставки новых самолетов должны начаться в 2026 г.</w:t>
            </w:r>
          </w:p>
        </w:tc>
      </w:tr>
      <w:tr w:rsidR="00CF1B66" w14:paraId="0CF7E312" w14:textId="77777777">
        <w:trPr>
          <w:jc w:val="center"/>
        </w:trPr>
        <w:tc>
          <w:tcPr>
            <w:tcW w:w="4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782C3E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Метрополитен Санкт-Петербурга</w:t>
            </w:r>
          </w:p>
        </w:tc>
        <w:tc>
          <w:tcPr>
            <w:tcW w:w="26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4631F8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Обновление подвижного состава в 2026 г.</w:t>
            </w:r>
          </w:p>
        </w:tc>
      </w:tr>
    </w:tbl>
    <w:p w14:paraId="1CCED334" w14:textId="77777777" w:rsidR="00CF1B66" w:rsidRDefault="00994877">
      <w:pPr>
        <w:spacing w:before="40" w:after="200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>Источник: Минфин РФ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CF1B66" w14:paraId="2D21A21E" w14:textId="77777777">
        <w:tc>
          <w:tcPr>
            <w:tcW w:w="9746" w:type="dxa"/>
            <w:tcBorders>
              <w:top w:val="single" w:sz="8" w:space="0" w:color="01696F"/>
              <w:left w:val="single" w:sz="24" w:space="0" w:color="01696F"/>
              <w:bottom w:val="single" w:sz="4" w:space="0" w:color="01696F"/>
              <w:right w:val="single" w:sz="4" w:space="0" w:color="01696F"/>
            </w:tcBorders>
            <w:shd w:val="clear" w:color="auto" w:fill="F7F4ED"/>
            <w:tcMar>
              <w:top w:w="180" w:type="dxa"/>
              <w:left w:w="240" w:type="dxa"/>
              <w:bottom w:w="180" w:type="dxa"/>
              <w:right w:w="200" w:type="dxa"/>
            </w:tcMar>
          </w:tcPr>
          <w:p w14:paraId="45892511" w14:textId="77777777" w:rsidR="00CF1B66" w:rsidRDefault="00994877">
            <w:pPr>
              <w:spacing w:after="8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1696F"/>
                <w:sz w:val="22"/>
              </w:rPr>
              <w:t>Вывод по блоку 3</w:t>
            </w:r>
          </w:p>
          <w:p w14:paraId="395FD957" w14:textId="77777777" w:rsidR="00CF1B66" w:rsidRDefault="00994877">
            <w:pPr>
              <w:spacing w:line="30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</w:rPr>
              <w:t>Инвестиционная модель I кв. 2026 — модель самофинансирования с растущей зависимостью от прибыли компаний и амортизационных отчислений. ФНБ фактически закрыт для новых проектов. Снижение ключевой ставки до 14,5% — необходимое, но недостаточное условие для разворота: восстановление инвесткредитования возможно во втором полугодии 2026 г. при сохранении траектории смягчения. Текущая структура источников отражает не «здоровую» инвестиционную модель, а адаптацию к финансовому стрессу.</w:t>
            </w:r>
          </w:p>
        </w:tc>
      </w:tr>
    </w:tbl>
    <w:p w14:paraId="7E55259F" w14:textId="77777777" w:rsidR="00CF1B66" w:rsidRDefault="00994877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239144F7" w14:textId="77777777" w:rsidR="00CF1B66" w:rsidRDefault="00994877">
      <w:pPr>
        <w:pStyle w:val="10"/>
        <w:rPr>
          <w:rFonts w:ascii="Arial" w:hAnsi="Arial"/>
        </w:rPr>
      </w:pPr>
      <w:r>
        <w:rPr>
          <w:rFonts w:ascii="Arial" w:hAnsi="Arial"/>
        </w:rPr>
        <w:t>Блок 4. Качество инвестиций</w:t>
      </w:r>
    </w:p>
    <w:p w14:paraId="170F897B" w14:textId="77777777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>Оценку качества инвестиций можно провести через несколько индикаторов: долю активной части основных фондов (машины и оборудование), интенсивность НИОКР, импорт инвестиционного оборудования и баланс технологических и сырьевых отраслей. По всем направлениям ситуация указывает на ослабление качественной составляющей инвестиционного цикла.</w:t>
      </w:r>
    </w:p>
    <w:p w14:paraId="4A19EDAE" w14:textId="77777777" w:rsidR="00CF1B66" w:rsidRDefault="00994877">
      <w:pPr>
        <w:spacing w:after="100" w:line="300" w:lineRule="auto"/>
        <w:jc w:val="both"/>
        <w:rPr>
          <w:rFonts w:ascii="Arial" w:hAnsi="Arial"/>
          <w:color w:val="1A1A1A"/>
        </w:rPr>
      </w:pPr>
      <w:r>
        <w:rPr>
          <w:rFonts w:ascii="Arial" w:hAnsi="Arial"/>
          <w:color w:val="1A1A1A"/>
        </w:rPr>
        <w:t xml:space="preserve">Как </w:t>
      </w:r>
      <w:hyperlink r:id="rId29" w:history="1">
        <w:r>
          <w:rPr>
            <w:rStyle w:val="ac"/>
            <w:rFonts w:ascii="Arial" w:hAnsi="Arial"/>
          </w:rPr>
          <w:t>отмечает</w:t>
        </w:r>
      </w:hyperlink>
      <w:r>
        <w:rPr>
          <w:rFonts w:ascii="Arial" w:hAnsi="Arial"/>
          <w:color w:val="1A1A1A"/>
        </w:rPr>
        <w:t xml:space="preserve"> ЦМАКП, производство инвестиционных товаров в I кв. 2026 г. сократилось на 2,7% по сравнению с IV кв. 2025 г., при этом текущий уровень на 16% ниже показателя 2024 г. Конъюнктурные опросы ИНП РАН показывают, что в мае 2026 г. инвестпланы промпредприятий </w:t>
      </w:r>
      <w:hyperlink r:id="rId30" w:history="1">
        <w:r>
          <w:rPr>
            <w:rStyle w:val="ac"/>
            <w:rFonts w:ascii="Arial" w:hAnsi="Arial"/>
          </w:rPr>
          <w:t>сохранились</w:t>
        </w:r>
      </w:hyperlink>
      <w:r>
        <w:rPr>
          <w:rFonts w:ascii="Arial" w:hAnsi="Arial"/>
          <w:color w:val="1A1A1A"/>
        </w:rPr>
        <w:t xml:space="preserve"> на апрельском уровне — минус 13 пунктов. Хотя это на 7 пунктов выше мартовского показателя, промышленность по-прежнему остается в зоне пессимизма.</w:t>
      </w:r>
    </w:p>
    <w:p w14:paraId="5FBFF650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НИОКР: дистанция до целей-2030</w:t>
      </w:r>
    </w:p>
    <w:p w14:paraId="62594D8D" w14:textId="77777777" w:rsidR="00CF1B66" w:rsidRDefault="00994877">
      <w:pPr>
        <w:spacing w:before="160" w:after="80"/>
        <w:rPr>
          <w:rFonts w:ascii="Arial" w:hAnsi="Arial"/>
        </w:rPr>
      </w:pPr>
      <w:r>
        <w:rPr>
          <w:rFonts w:ascii="Arial" w:hAnsi="Arial"/>
          <w:b/>
          <w:color w:val="01696F"/>
          <w:sz w:val="19"/>
        </w:rPr>
        <w:t xml:space="preserve">Таблица 4.1. </w:t>
      </w:r>
      <w:r>
        <w:rPr>
          <w:rFonts w:ascii="Arial" w:hAnsi="Arial"/>
          <w:b/>
          <w:color w:val="1A1A1A"/>
          <w:sz w:val="19"/>
        </w:rPr>
        <w:t>Расходы на НИОКР в России, 2022–2024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300"/>
        <w:gridCol w:w="2200"/>
      </w:tblGrid>
      <w:tr w:rsidR="00CF1B66" w14:paraId="0C8638B1" w14:textId="77777777">
        <w:trPr>
          <w:tblHeader/>
          <w:jc w:val="center"/>
        </w:trPr>
        <w:tc>
          <w:tcPr>
            <w:tcW w:w="1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01090B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Год</w:t>
            </w:r>
          </w:p>
        </w:tc>
        <w:tc>
          <w:tcPr>
            <w:tcW w:w="33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DC4B747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Затраты на НИОКР, млрд руб. (в постоянных ценах 2019 г.)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B7CED3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Доля в ВВП, %</w:t>
            </w:r>
          </w:p>
        </w:tc>
      </w:tr>
      <w:tr w:rsidR="00CF1B66" w14:paraId="397A4543" w14:textId="77777777">
        <w:trPr>
          <w:jc w:val="center"/>
        </w:trPr>
        <w:tc>
          <w:tcPr>
            <w:tcW w:w="17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398F15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2022</w:t>
            </w:r>
          </w:p>
        </w:tc>
        <w:tc>
          <w:tcPr>
            <w:tcW w:w="33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32D59E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1018,6</w:t>
            </w:r>
          </w:p>
        </w:tc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3A090E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0,93</w:t>
            </w:r>
          </w:p>
        </w:tc>
      </w:tr>
      <w:tr w:rsidR="00CF1B66" w14:paraId="019211DF" w14:textId="77777777">
        <w:trPr>
          <w:jc w:val="center"/>
        </w:trPr>
        <w:tc>
          <w:tcPr>
            <w:tcW w:w="17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BFF9C0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2023</w:t>
            </w:r>
          </w:p>
        </w:tc>
        <w:tc>
          <w:tcPr>
            <w:tcW w:w="33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DD0F7F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1083,6</w:t>
            </w:r>
          </w:p>
        </w:tc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A83F52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0,96</w:t>
            </w:r>
          </w:p>
        </w:tc>
      </w:tr>
      <w:tr w:rsidR="00CF1B66" w14:paraId="4D18CCE7" w14:textId="77777777">
        <w:trPr>
          <w:jc w:val="center"/>
        </w:trPr>
        <w:tc>
          <w:tcPr>
            <w:tcW w:w="17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C44CD6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2024</w:t>
            </w:r>
          </w:p>
        </w:tc>
        <w:tc>
          <w:tcPr>
            <w:tcW w:w="33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C489C2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1132,7</w:t>
            </w:r>
          </w:p>
        </w:tc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E59883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0,97</w:t>
            </w:r>
          </w:p>
        </w:tc>
      </w:tr>
    </w:tbl>
    <w:p w14:paraId="4B79A8A9" w14:textId="77777777" w:rsidR="00CF1B66" w:rsidRDefault="00994877">
      <w:pPr>
        <w:spacing w:before="40" w:after="200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>Источник: ИСИЭЗ НИУ ВШЭ</w:t>
      </w:r>
    </w:p>
    <w:p w14:paraId="15484712" w14:textId="77777777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 xml:space="preserve">В таблице 4.1 представлены затраты на НИОКР в России. Данных по итогам 2025 г. пока не представлено, однако правительство </w:t>
      </w:r>
      <w:hyperlink r:id="rId31" w:history="1">
        <w:r>
          <w:rPr>
            <w:rStyle w:val="ac"/>
            <w:rFonts w:ascii="Arial" w:hAnsi="Arial"/>
          </w:rPr>
          <w:t>планировало</w:t>
        </w:r>
      </w:hyperlink>
      <w:r>
        <w:rPr>
          <w:rFonts w:ascii="Arial" w:hAnsi="Arial"/>
          <w:color w:val="1A1A1A"/>
        </w:rPr>
        <w:t xml:space="preserve"> увеличить бюджет науки на 14% по сравнению с 2024 г. — до 665 млрд руб. (в текущих ценах). Частные инвестиции в НИОКР в России в 2024 г., как заявлял председатель правительства РФ Михаил Мишустин, превысили 600 млрд руб., по 2025 г. данные на текущий момент отсутствуют. В любом случае достижение цели 2030 г. (около 2% ВВП) потребует более чем двукратного роста затрат за 4–5 лет — в условиях бюджетных ограничений и сжатого корпоративного кредитования это амбициозная задача.</w:t>
      </w:r>
    </w:p>
    <w:p w14:paraId="10DB31B1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Промышленное производство: дно в феврале, восстановление в марте</w:t>
      </w:r>
    </w:p>
    <w:p w14:paraId="440E16F6" w14:textId="77777777" w:rsidR="00CF1B66" w:rsidRDefault="00994877">
      <w:pPr>
        <w:spacing w:before="160" w:after="80"/>
        <w:rPr>
          <w:rFonts w:ascii="Arial" w:hAnsi="Arial"/>
        </w:rPr>
      </w:pPr>
      <w:r>
        <w:rPr>
          <w:rFonts w:ascii="Arial" w:hAnsi="Arial"/>
          <w:b/>
          <w:color w:val="01696F"/>
          <w:sz w:val="19"/>
        </w:rPr>
        <w:t xml:space="preserve">Таблица 4.2. </w:t>
      </w:r>
      <w:r>
        <w:rPr>
          <w:rFonts w:ascii="Arial" w:hAnsi="Arial"/>
          <w:b/>
          <w:color w:val="1A1A1A"/>
          <w:sz w:val="19"/>
        </w:rPr>
        <w:t>Индекс промышленного производства, Q1 2026 (% г/г)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1169"/>
        <w:gridCol w:w="1984"/>
        <w:gridCol w:w="1560"/>
        <w:gridCol w:w="1876"/>
        <w:gridCol w:w="1731"/>
      </w:tblGrid>
      <w:tr w:rsidR="00CF1B66" w14:paraId="6188E37D" w14:textId="77777777">
        <w:trPr>
          <w:trHeight w:val="1028"/>
          <w:tblHeader/>
        </w:trPr>
        <w:tc>
          <w:tcPr>
            <w:tcW w:w="1378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93B607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Период</w:t>
            </w:r>
          </w:p>
        </w:tc>
        <w:tc>
          <w:tcPr>
            <w:tcW w:w="1169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BB2281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27815C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Обрабатывающие</w:t>
            </w:r>
          </w:p>
        </w:tc>
        <w:tc>
          <w:tcPr>
            <w:tcW w:w="15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9A7FBC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Добыча</w:t>
            </w:r>
          </w:p>
        </w:tc>
        <w:tc>
          <w:tcPr>
            <w:tcW w:w="1876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233CEB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Электро/тепло</w:t>
            </w:r>
          </w:p>
        </w:tc>
        <w:tc>
          <w:tcPr>
            <w:tcW w:w="1731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left w:w="10" w:type="dxa"/>
              <w:right w:w="10" w:type="dxa"/>
            </w:tcMar>
          </w:tcPr>
          <w:p w14:paraId="2CE4D33F" w14:textId="77777777" w:rsidR="00CF1B66" w:rsidRDefault="00994877">
            <w:pPr>
              <w:jc w:val="center"/>
              <w:rPr>
                <w:rFonts w:ascii="Arial" w:hAnsi="Arial"/>
                <w:b/>
                <w:color w:val="FFFFFF"/>
                <w:sz w:val="19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Водоснабжение, водоотведение, утилизация отходов</w:t>
            </w:r>
          </w:p>
        </w:tc>
      </w:tr>
      <w:tr w:rsidR="00CF1B66" w14:paraId="0E221047" w14:textId="77777777">
        <w:trPr>
          <w:trHeight w:val="223"/>
        </w:trPr>
        <w:tc>
          <w:tcPr>
            <w:tcW w:w="137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8C16D0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Январь 2026</w:t>
            </w:r>
          </w:p>
        </w:tc>
        <w:tc>
          <w:tcPr>
            <w:tcW w:w="116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5412B0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−0,8</w:t>
            </w:r>
          </w:p>
        </w:tc>
        <w:tc>
          <w:tcPr>
            <w:tcW w:w="198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5DBDB5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−3,0</w:t>
            </w:r>
          </w:p>
        </w:tc>
        <w:tc>
          <w:tcPr>
            <w:tcW w:w="156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43A570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+0,5</w:t>
            </w:r>
          </w:p>
        </w:tc>
        <w:tc>
          <w:tcPr>
            <w:tcW w:w="187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2EADFB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F7B3F"/>
                <w:sz w:val="19"/>
              </w:rPr>
              <w:t>+7,5</w:t>
            </w:r>
          </w:p>
        </w:tc>
        <w:tc>
          <w:tcPr>
            <w:tcW w:w="1731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D5260F" w14:textId="77777777" w:rsidR="00CF1B66" w:rsidRDefault="00994877">
            <w:pPr>
              <w:jc w:val="center"/>
              <w:rPr>
                <w:rFonts w:ascii="Arial" w:hAnsi="Arial"/>
                <w:color w:val="8B1E1E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-7,0</w:t>
            </w:r>
          </w:p>
        </w:tc>
      </w:tr>
      <w:tr w:rsidR="00CF1B66" w14:paraId="50C2D998" w14:textId="77777777">
        <w:trPr>
          <w:trHeight w:val="238"/>
        </w:trPr>
        <w:tc>
          <w:tcPr>
            <w:tcW w:w="137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D72CF6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Февраль 2026</w:t>
            </w:r>
          </w:p>
        </w:tc>
        <w:tc>
          <w:tcPr>
            <w:tcW w:w="116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E4C9EA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−0,9</w:t>
            </w:r>
          </w:p>
        </w:tc>
        <w:tc>
          <w:tcPr>
            <w:tcW w:w="198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22C2BE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−2,8</w:t>
            </w:r>
          </w:p>
        </w:tc>
        <w:tc>
          <w:tcPr>
            <w:tcW w:w="156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95B75B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+0,9</w:t>
            </w:r>
          </w:p>
        </w:tc>
        <w:tc>
          <w:tcPr>
            <w:tcW w:w="187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A81114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+3,6</w:t>
            </w:r>
          </w:p>
        </w:tc>
        <w:tc>
          <w:tcPr>
            <w:tcW w:w="1731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left w:w="10" w:type="dxa"/>
              <w:right w:w="10" w:type="dxa"/>
            </w:tcMar>
          </w:tcPr>
          <w:p w14:paraId="48A3D8D9" w14:textId="77777777" w:rsidR="00CF1B66" w:rsidRDefault="00994877">
            <w:pPr>
              <w:jc w:val="center"/>
              <w:rPr>
                <w:rFonts w:ascii="Arial" w:hAnsi="Arial"/>
                <w:color w:val="8B1E1E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-2,1</w:t>
            </w:r>
          </w:p>
        </w:tc>
      </w:tr>
      <w:tr w:rsidR="00CF1B66" w14:paraId="6B8E3584" w14:textId="77777777">
        <w:trPr>
          <w:trHeight w:val="223"/>
        </w:trPr>
        <w:tc>
          <w:tcPr>
            <w:tcW w:w="137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22711C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Март 2026</w:t>
            </w:r>
          </w:p>
        </w:tc>
        <w:tc>
          <w:tcPr>
            <w:tcW w:w="116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5A37A8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+2,3</w:t>
            </w:r>
          </w:p>
        </w:tc>
        <w:tc>
          <w:tcPr>
            <w:tcW w:w="198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1604DF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+3,0</w:t>
            </w:r>
          </w:p>
        </w:tc>
        <w:tc>
          <w:tcPr>
            <w:tcW w:w="156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C59483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+1,0</w:t>
            </w:r>
          </w:p>
        </w:tc>
        <w:tc>
          <w:tcPr>
            <w:tcW w:w="187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DF3397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+0,1</w:t>
            </w:r>
          </w:p>
        </w:tc>
        <w:tc>
          <w:tcPr>
            <w:tcW w:w="1731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CB0511" w14:textId="77777777" w:rsidR="00CF1B66" w:rsidRDefault="00994877">
            <w:pPr>
              <w:jc w:val="center"/>
              <w:rPr>
                <w:rFonts w:ascii="Arial" w:hAnsi="Arial"/>
                <w:color w:val="8B1E1E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-2,4</w:t>
            </w:r>
          </w:p>
        </w:tc>
      </w:tr>
      <w:tr w:rsidR="00CF1B66" w14:paraId="6927F015" w14:textId="77777777">
        <w:trPr>
          <w:trHeight w:val="238"/>
        </w:trPr>
        <w:tc>
          <w:tcPr>
            <w:tcW w:w="137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A7E8B6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I кв. 2026 итого</w:t>
            </w:r>
          </w:p>
        </w:tc>
        <w:tc>
          <w:tcPr>
            <w:tcW w:w="116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976D5A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B85C00"/>
                <w:sz w:val="19"/>
              </w:rPr>
              <w:t>+0,3</w:t>
            </w:r>
          </w:p>
        </w:tc>
        <w:tc>
          <w:tcPr>
            <w:tcW w:w="1984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4AEA5D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−0,7</w:t>
            </w:r>
          </w:p>
        </w:tc>
        <w:tc>
          <w:tcPr>
            <w:tcW w:w="156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0DD55D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+0,8</w:t>
            </w:r>
          </w:p>
        </w:tc>
        <w:tc>
          <w:tcPr>
            <w:tcW w:w="187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BF39FC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F7B3F"/>
                <w:sz w:val="19"/>
              </w:rPr>
              <w:t>+3,8</w:t>
            </w:r>
          </w:p>
        </w:tc>
        <w:tc>
          <w:tcPr>
            <w:tcW w:w="1731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left w:w="10" w:type="dxa"/>
              <w:right w:w="10" w:type="dxa"/>
            </w:tcMar>
          </w:tcPr>
          <w:p w14:paraId="6E205348" w14:textId="77777777" w:rsidR="00CF1B66" w:rsidRDefault="00994877">
            <w:pPr>
              <w:jc w:val="center"/>
              <w:rPr>
                <w:rFonts w:ascii="Arial" w:hAnsi="Arial"/>
                <w:color w:val="8B1E1E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-3,8</w:t>
            </w:r>
          </w:p>
        </w:tc>
      </w:tr>
    </w:tbl>
    <w:p w14:paraId="3C324A71" w14:textId="77777777" w:rsidR="00CF1B66" w:rsidRDefault="00994877">
      <w:pPr>
        <w:spacing w:before="40" w:after="200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 xml:space="preserve">Источник: </w:t>
      </w:r>
      <w:hyperlink r:id="rId32" w:history="1">
        <w:r>
          <w:rPr>
            <w:rStyle w:val="ac"/>
            <w:rFonts w:ascii="Arial" w:hAnsi="Arial"/>
            <w:i/>
            <w:sz w:val="17"/>
          </w:rPr>
          <w:t>Росстат</w:t>
        </w:r>
      </w:hyperlink>
    </w:p>
    <w:p w14:paraId="705EB1B5" w14:textId="77777777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>Слабая суммарная динамика I кв. 2026 по сравнению с аналогичным периодом прошлого года (+0,3%) формируется за счет мартовского отскока (+2,3% г/г) после двух кризисных месяцев (январь −0,8%, февраль −0,9%). Восстановление в марте объясняется выравниванием числа рабочих дней (январь–февраль 2026 г. имели на 3 рабочих дня меньше год к году) и сезонными факторами. Структурно слабым местом остается обрабатывающая промышленность: −0,7% за квартал в целом, при этом отдельные отрасли показывают двузначное падение: в частности, –10,1% по металлургии.</w:t>
      </w:r>
    </w:p>
    <w:p w14:paraId="7BD452BA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Импорт инвестиционного оборудования</w:t>
      </w:r>
    </w:p>
    <w:p w14:paraId="165C2B15" w14:textId="2FCFEC80" w:rsidR="00DD72B9" w:rsidRDefault="00994877">
      <w:pPr>
        <w:spacing w:after="100" w:line="300" w:lineRule="auto"/>
        <w:jc w:val="both"/>
        <w:rPr>
          <w:rFonts w:ascii="Arial" w:hAnsi="Arial"/>
          <w:color w:val="1A1A1A"/>
        </w:rPr>
      </w:pPr>
      <w:r>
        <w:rPr>
          <w:rFonts w:ascii="Arial" w:hAnsi="Arial"/>
          <w:color w:val="1A1A1A"/>
        </w:rPr>
        <w:t xml:space="preserve">Согласно статистике ФТС за I кв. 2026 г., импорт машин и оборудования вырос на 12,2% по сравнению с аналогичным периодом прошлого года. Во многом это обусловлено укреплением рубля в 2026 г. (прогноз </w:t>
      </w:r>
      <w:hyperlink r:id="rId33" w:history="1">
        <w:r>
          <w:rPr>
            <w:rStyle w:val="ac"/>
            <w:rFonts w:ascii="Arial" w:hAnsi="Arial"/>
          </w:rPr>
          <w:t>макроопроса ЦБ</w:t>
        </w:r>
      </w:hyperlink>
      <w:r>
        <w:rPr>
          <w:rFonts w:ascii="Arial" w:hAnsi="Arial"/>
          <w:color w:val="1A1A1A"/>
        </w:rPr>
        <w:t>: средний курс 81,2 руб./долл. за год), которое создает условия для удешевления импортного оборудования. Однако санкционные ограничения сохраняют барьер доступа к высокотехнологичным инвестиционным товарам, что</w:t>
      </w:r>
      <w:r w:rsidR="00DD72B9">
        <w:rPr>
          <w:rFonts w:ascii="Arial" w:hAnsi="Arial"/>
          <w:color w:val="1A1A1A"/>
        </w:rPr>
        <w:t xml:space="preserve"> лишь</w:t>
      </w:r>
      <w:r>
        <w:rPr>
          <w:rFonts w:ascii="Arial" w:hAnsi="Arial"/>
          <w:color w:val="1A1A1A"/>
        </w:rPr>
        <w:t xml:space="preserve"> частично компенсируется параллельным импортом через Китай, Индию и ОАЭ. </w:t>
      </w:r>
    </w:p>
    <w:p w14:paraId="1B76B204" w14:textId="6FFB4A3E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>Экспорт в категории машин и оборудования при этом наоборот снизился — на 13,2% по сравнению с I кв. 2025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CF1B66" w14:paraId="23641CAA" w14:textId="77777777">
        <w:tc>
          <w:tcPr>
            <w:tcW w:w="9746" w:type="dxa"/>
            <w:tcBorders>
              <w:top w:val="single" w:sz="8" w:space="0" w:color="01696F"/>
              <w:left w:val="single" w:sz="24" w:space="0" w:color="01696F"/>
              <w:bottom w:val="single" w:sz="4" w:space="0" w:color="01696F"/>
              <w:right w:val="single" w:sz="4" w:space="0" w:color="01696F"/>
            </w:tcBorders>
            <w:shd w:val="clear" w:color="auto" w:fill="F7F4ED"/>
            <w:tcMar>
              <w:top w:w="180" w:type="dxa"/>
              <w:left w:w="240" w:type="dxa"/>
              <w:bottom w:w="180" w:type="dxa"/>
              <w:right w:w="200" w:type="dxa"/>
            </w:tcMar>
          </w:tcPr>
          <w:p w14:paraId="33981474" w14:textId="77777777" w:rsidR="00CF1B66" w:rsidRDefault="00994877">
            <w:pPr>
              <w:spacing w:after="8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1696F"/>
                <w:sz w:val="22"/>
              </w:rPr>
              <w:t>Вывод по блоку 4</w:t>
            </w:r>
          </w:p>
          <w:p w14:paraId="6C55672D" w14:textId="77777777" w:rsidR="00CF1B66" w:rsidRDefault="00994877">
            <w:pPr>
              <w:spacing w:line="30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</w:rPr>
              <w:t>Качество инвестиционного цикла снижается. НИОКР в 2024 г. — 0,97% ВВП при цели 2% к 2030 г.; кратное расширение в условиях бюджетных ограничений выглядит проблематичным. Промышленное производство демонстрирует структурную двойственность: рост в добыче полезных ископаемых и обеспечении электронергией и газом при падении в обрабатывающих отраслях. Зависимость от импорта высокотехнологичного оборудования сохраняется, технологическое обновление носит точечный характер и не складывается в общеэкономическую модернизацию.</w:t>
            </w:r>
          </w:p>
        </w:tc>
      </w:tr>
    </w:tbl>
    <w:p w14:paraId="52AC6E36" w14:textId="77777777" w:rsidR="00CF1B66" w:rsidRDefault="00994877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3C0D0042" w14:textId="77777777" w:rsidR="00CF1B66" w:rsidRDefault="00994877">
      <w:pPr>
        <w:pStyle w:val="10"/>
        <w:rPr>
          <w:rFonts w:ascii="Arial" w:hAnsi="Arial"/>
        </w:rPr>
      </w:pPr>
      <w:r>
        <w:rPr>
          <w:rFonts w:ascii="Arial" w:hAnsi="Arial"/>
        </w:rPr>
        <w:t>Блок 5. Крупнейшие проекты и инвестиционные настроения</w:t>
      </w:r>
    </w:p>
    <w:p w14:paraId="59CFBA5E" w14:textId="77777777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>Несмотря на торможение совокупных инвестиций, в I квартале 2026 г. реализуется целый ряд мегапроектов с горизонтом 3–10 лет — преимущественно с участием государства, госкорпораций или квазигосударственных структур. Эти проекты не реагируют на краткосрочные колебания ставок и формируют «инвестиционное ядро» сложившейся модели.</w:t>
      </w:r>
    </w:p>
    <w:p w14:paraId="112D928D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Крупнейшие инвестиционные проекты I кв. 2026</w:t>
      </w:r>
    </w:p>
    <w:p w14:paraId="1C5BDC01" w14:textId="77777777" w:rsidR="00CF1B66" w:rsidRDefault="00994877">
      <w:pPr>
        <w:spacing w:before="160" w:after="80"/>
        <w:rPr>
          <w:rFonts w:ascii="Arial" w:hAnsi="Arial"/>
        </w:rPr>
      </w:pPr>
      <w:r>
        <w:rPr>
          <w:rFonts w:ascii="Arial" w:hAnsi="Arial"/>
          <w:b/>
          <w:color w:val="01696F"/>
          <w:sz w:val="19"/>
        </w:rPr>
        <w:t xml:space="preserve">Таблица 5.1. </w:t>
      </w:r>
      <w:r>
        <w:rPr>
          <w:rFonts w:ascii="Arial" w:hAnsi="Arial"/>
          <w:b/>
          <w:color w:val="1A1A1A"/>
          <w:sz w:val="19"/>
        </w:rPr>
        <w:t>Ключевые инвестиционные проекты в активной реализации в I кв. 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2"/>
        <w:gridCol w:w="1499"/>
        <w:gridCol w:w="1588"/>
        <w:gridCol w:w="1272"/>
        <w:gridCol w:w="1539"/>
        <w:gridCol w:w="1906"/>
      </w:tblGrid>
      <w:tr w:rsidR="00CF1B66" w14:paraId="7D7E5DDB" w14:textId="77777777">
        <w:trPr>
          <w:tblHeader/>
        </w:trPr>
        <w:tc>
          <w:tcPr>
            <w:tcW w:w="1942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13CF5C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Проект</w:t>
            </w:r>
          </w:p>
        </w:tc>
        <w:tc>
          <w:tcPr>
            <w:tcW w:w="1499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206AA5B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Отрасль</w:t>
            </w:r>
          </w:p>
        </w:tc>
        <w:tc>
          <w:tcPr>
            <w:tcW w:w="1588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C225CC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Регион</w:t>
            </w:r>
          </w:p>
        </w:tc>
        <w:tc>
          <w:tcPr>
            <w:tcW w:w="1272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730DA8D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Объем, млрд руб.</w:t>
            </w:r>
          </w:p>
        </w:tc>
        <w:tc>
          <w:tcPr>
            <w:tcW w:w="1539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3D2C17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Инвестор</w:t>
            </w:r>
          </w:p>
        </w:tc>
        <w:tc>
          <w:tcPr>
            <w:tcW w:w="1906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DD1322B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Статус I кв. 2026</w:t>
            </w:r>
          </w:p>
        </w:tc>
      </w:tr>
      <w:tr w:rsidR="00CF1B66" w14:paraId="4298DDC9" w14:textId="77777777">
        <w:tc>
          <w:tcPr>
            <w:tcW w:w="1942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E38A46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ВСМ Москва – Санкт-Петербург</w:t>
            </w:r>
          </w:p>
        </w:tc>
        <w:tc>
          <w:tcPr>
            <w:tcW w:w="149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3C9909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Ж/д транспорт</w:t>
            </w:r>
          </w:p>
        </w:tc>
        <w:tc>
          <w:tcPr>
            <w:tcW w:w="158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7E6FA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Москва, Тверь, СПб</w:t>
            </w:r>
          </w:p>
        </w:tc>
        <w:tc>
          <w:tcPr>
            <w:tcW w:w="1272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F4F6A3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&gt;2 349</w:t>
            </w:r>
          </w:p>
        </w:tc>
        <w:tc>
          <w:tcPr>
            <w:tcW w:w="153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A6A1AF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РЖД, ВТБ, ФНБ</w:t>
            </w:r>
          </w:p>
        </w:tc>
        <w:tc>
          <w:tcPr>
            <w:tcW w:w="190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958194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Полномасштабное строительство; инвестпрограмма РЖД — 120 млрд руб. в 2026 г. + 62,2 млрд руб. на развитие магистральной инфраструктуры</w:t>
            </w:r>
          </w:p>
        </w:tc>
      </w:tr>
      <w:tr w:rsidR="00CF1B66" w14:paraId="7E35F9DA" w14:textId="77777777">
        <w:tc>
          <w:tcPr>
            <w:tcW w:w="1942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814BBF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«Восток Ойл»</w:t>
            </w:r>
          </w:p>
        </w:tc>
        <w:tc>
          <w:tcPr>
            <w:tcW w:w="149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43D585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Нефтедобыча</w:t>
            </w:r>
          </w:p>
        </w:tc>
        <w:tc>
          <w:tcPr>
            <w:tcW w:w="158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634854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Красноярский край, ЯНАО</w:t>
            </w:r>
          </w:p>
        </w:tc>
        <w:tc>
          <w:tcPr>
            <w:tcW w:w="1272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DA7F68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~11 800 – 12 000</w:t>
            </w:r>
          </w:p>
        </w:tc>
        <w:tc>
          <w:tcPr>
            <w:tcW w:w="153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5677CC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Роснефть + партнеры</w:t>
            </w:r>
          </w:p>
        </w:tc>
        <w:tc>
          <w:tcPr>
            <w:tcW w:w="190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3E9DBB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Запуск первой очереди запланирован на 2026 г.: порт, трубопровод &gt;700 км</w:t>
            </w:r>
          </w:p>
        </w:tc>
      </w:tr>
      <w:tr w:rsidR="00CF1B66" w14:paraId="05D5F6A5" w14:textId="77777777">
        <w:tc>
          <w:tcPr>
            <w:tcW w:w="1942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BF2830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Балтийский ГХК (Усть-Луга)</w:t>
            </w:r>
          </w:p>
        </w:tc>
        <w:tc>
          <w:tcPr>
            <w:tcW w:w="149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75AD59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Газохимия / СПГ</w:t>
            </w:r>
          </w:p>
        </w:tc>
        <w:tc>
          <w:tcPr>
            <w:tcW w:w="158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882F88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Ленинградская обл.</w:t>
            </w:r>
          </w:p>
        </w:tc>
        <w:tc>
          <w:tcPr>
            <w:tcW w:w="1272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946C84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4 915</w:t>
            </w:r>
          </w:p>
        </w:tc>
        <w:tc>
          <w:tcPr>
            <w:tcW w:w="153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13E463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Газпром, Русгаздобыча, ФНБ</w:t>
            </w:r>
          </w:p>
        </w:tc>
        <w:tc>
          <w:tcPr>
            <w:tcW w:w="190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2D7B09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Стройка; запуск планируется на 2027 г.</w:t>
            </w:r>
          </w:p>
        </w:tc>
      </w:tr>
      <w:tr w:rsidR="00CF1B66" w14:paraId="3CAD29E0" w14:textId="77777777">
        <w:trPr>
          <w:trHeight w:val="1334"/>
        </w:trPr>
        <w:tc>
          <w:tcPr>
            <w:tcW w:w="1942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63BA68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Удоканский ГОК</w:t>
            </w:r>
          </w:p>
        </w:tc>
        <w:tc>
          <w:tcPr>
            <w:tcW w:w="149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F316E7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Горнодобыча (медь)</w:t>
            </w:r>
          </w:p>
        </w:tc>
        <w:tc>
          <w:tcPr>
            <w:tcW w:w="158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C25DC8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Забайкальский край</w:t>
            </w:r>
          </w:p>
        </w:tc>
        <w:tc>
          <w:tcPr>
            <w:tcW w:w="1272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948E88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&gt;800</w:t>
            </w:r>
          </w:p>
        </w:tc>
        <w:tc>
          <w:tcPr>
            <w:tcW w:w="153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2CDF2F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ГМК «Удоканская медь»</w:t>
            </w:r>
          </w:p>
        </w:tc>
        <w:tc>
          <w:tcPr>
            <w:tcW w:w="190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7AD795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Наращивание мощностей — со 150 тыс. т меди до 550 тыс. т меди в год</w:t>
            </w:r>
          </w:p>
        </w:tc>
      </w:tr>
      <w:tr w:rsidR="00CF1B66" w14:paraId="568EAEF0" w14:textId="77777777">
        <w:tc>
          <w:tcPr>
            <w:tcW w:w="1942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2C396F" w14:textId="77777777" w:rsidR="00CF1B66" w:rsidRDefault="00994877">
            <w:pPr>
              <w:rPr>
                <w:rFonts w:ascii="Arial" w:hAnsi="Arial"/>
                <w:b/>
                <w:color w:val="1A1A1A"/>
                <w:sz w:val="19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Курская АЭС-2</w:t>
            </w:r>
          </w:p>
        </w:tc>
        <w:tc>
          <w:tcPr>
            <w:tcW w:w="149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A446F7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Атомная энергетика</w:t>
            </w:r>
          </w:p>
        </w:tc>
        <w:tc>
          <w:tcPr>
            <w:tcW w:w="158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43644C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Курская обл.</w:t>
            </w:r>
          </w:p>
        </w:tc>
        <w:tc>
          <w:tcPr>
            <w:tcW w:w="1272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6B871B" w14:textId="77777777" w:rsidR="00CF1B66" w:rsidRDefault="00994877">
            <w:pPr>
              <w:jc w:val="center"/>
              <w:rPr>
                <w:rFonts w:ascii="Arial" w:hAnsi="Arial"/>
                <w:b/>
                <w:color w:val="1A1A1A"/>
                <w:sz w:val="19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529 (два блока)</w:t>
            </w:r>
          </w:p>
        </w:tc>
        <w:tc>
          <w:tcPr>
            <w:tcW w:w="153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B0C4B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Росатом</w:t>
            </w:r>
          </w:p>
        </w:tc>
        <w:tc>
          <w:tcPr>
            <w:tcW w:w="190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839241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Энергоблок № 1 введен в эксплуатацию в апреле 2026 г.</w:t>
            </w:r>
          </w:p>
        </w:tc>
      </w:tr>
      <w:tr w:rsidR="00CF1B66" w14:paraId="0C7BCE15" w14:textId="77777777">
        <w:tc>
          <w:tcPr>
            <w:tcW w:w="1942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DA1989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Иркутский завод полимеров</w:t>
            </w:r>
          </w:p>
        </w:tc>
        <w:tc>
          <w:tcPr>
            <w:tcW w:w="149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126945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Нефтехимия</w:t>
            </w:r>
          </w:p>
        </w:tc>
        <w:tc>
          <w:tcPr>
            <w:tcW w:w="158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5D675D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Иркутская обл.</w:t>
            </w:r>
          </w:p>
        </w:tc>
        <w:tc>
          <w:tcPr>
            <w:tcW w:w="1272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5338D3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250</w:t>
            </w:r>
          </w:p>
        </w:tc>
        <w:tc>
          <w:tcPr>
            <w:tcW w:w="153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B7A88E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Иркутская нефтяная компания</w:t>
            </w:r>
          </w:p>
        </w:tc>
        <w:tc>
          <w:tcPr>
            <w:tcW w:w="190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A2860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Ввод в эксплуатацию в 2026 г.; 650 тыс. т ПЭ/год</w:t>
            </w:r>
          </w:p>
        </w:tc>
      </w:tr>
      <w:tr w:rsidR="00CF1B66" w14:paraId="62F618AD" w14:textId="77777777">
        <w:trPr>
          <w:trHeight w:val="153"/>
        </w:trPr>
        <w:tc>
          <w:tcPr>
            <w:tcW w:w="1942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9DC1FE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Черногорский ГОК</w:t>
            </w:r>
          </w:p>
        </w:tc>
        <w:tc>
          <w:tcPr>
            <w:tcW w:w="149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27CFE4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Медно-никелевая добыча</w:t>
            </w:r>
          </w:p>
        </w:tc>
        <w:tc>
          <w:tcPr>
            <w:tcW w:w="1588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5F3486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Красноярский край</w:t>
            </w:r>
          </w:p>
        </w:tc>
        <w:tc>
          <w:tcPr>
            <w:tcW w:w="1272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6EB239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1A1A1A"/>
                <w:sz w:val="19"/>
              </w:rPr>
              <w:t>~215</w:t>
            </w:r>
          </w:p>
        </w:tc>
        <w:tc>
          <w:tcPr>
            <w:tcW w:w="1539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B821BA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Группа «Русская платина»</w:t>
            </w:r>
          </w:p>
        </w:tc>
        <w:tc>
          <w:tcPr>
            <w:tcW w:w="190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F2C180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Запущен в 2025 г., 2026 — первый год эксплуатации</w:t>
            </w:r>
          </w:p>
        </w:tc>
      </w:tr>
    </w:tbl>
    <w:p w14:paraId="161D8223" w14:textId="77777777" w:rsidR="00CF1B66" w:rsidRDefault="00994877">
      <w:pPr>
        <w:spacing w:before="40" w:after="200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>Источник: РЖД, Роснефть, Газпром, Росатом, отраслевые источники</w:t>
      </w:r>
      <w:r>
        <w:rPr>
          <w:rFonts w:ascii="Arial" w:hAnsi="Arial"/>
          <w:i/>
          <w:color w:val="01696F"/>
          <w:sz w:val="17"/>
          <w:u w:val="single" w:color="01696F"/>
        </w:rPr>
        <w:t xml:space="preserve"> </w:t>
      </w:r>
    </w:p>
    <w:p w14:paraId="051631AA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Деловые настроения: индексы пессимистичные</w:t>
      </w:r>
    </w:p>
    <w:p w14:paraId="3F7BFC08" w14:textId="77777777" w:rsidR="00CF1B66" w:rsidRDefault="00994877">
      <w:pPr>
        <w:spacing w:before="160" w:after="80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2B1505F4" wp14:editId="60923795">
            <wp:extent cx="3674690" cy="2219067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3674690" cy="221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09E5E" w14:textId="77777777" w:rsidR="00CF1B66" w:rsidRDefault="00994877">
      <w:pPr>
        <w:spacing w:after="60"/>
        <w:rPr>
          <w:rFonts w:ascii="Arial" w:hAnsi="Arial"/>
        </w:rPr>
      </w:pPr>
      <w:r>
        <w:rPr>
          <w:rFonts w:ascii="Arial" w:hAnsi="Arial"/>
          <w:b/>
          <w:i/>
          <w:color w:val="5A5A5A"/>
          <w:sz w:val="18"/>
        </w:rPr>
        <w:t>Рисунок 3. Индикатор бизнес-климата ЦБ РФ (текущие оценки), май 2025 — май 2026</w:t>
      </w:r>
    </w:p>
    <w:p w14:paraId="6B483F5B" w14:textId="77777777" w:rsidR="00CF1B66" w:rsidRDefault="00994877">
      <w:pPr>
        <w:spacing w:after="200" w:line="300" w:lineRule="auto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 xml:space="preserve">Источник: </w:t>
      </w:r>
      <w:hyperlink r:id="rId35" w:history="1">
        <w:r>
          <w:rPr>
            <w:rStyle w:val="ac"/>
            <w:rFonts w:ascii="Arial" w:hAnsi="Arial"/>
            <w:i/>
            <w:sz w:val="17"/>
          </w:rPr>
          <w:t>Банк России</w:t>
        </w:r>
      </w:hyperlink>
    </w:p>
    <w:p w14:paraId="4DB383A3" w14:textId="1E0D4715" w:rsidR="00CF1B66" w:rsidRDefault="00994877">
      <w:pPr>
        <w:spacing w:after="100" w:line="300" w:lineRule="auto"/>
        <w:jc w:val="both"/>
        <w:rPr>
          <w:rFonts w:ascii="Arial" w:hAnsi="Arial"/>
          <w:color w:val="1A1A1A"/>
        </w:rPr>
      </w:pPr>
      <w:r>
        <w:rPr>
          <w:rFonts w:ascii="Arial" w:hAnsi="Arial"/>
          <w:color w:val="1A1A1A"/>
        </w:rPr>
        <w:t>Индикатор бизнес-климата (ИБК) Банка России — один из наиболее чувствительных оперативных индикаторов состояния экономики. В марте 2026 г. сводный ИБК опустился до −0,1 п. — первое отрицательное значение с осени 2022 г. В апреле 2026 г. зафиксировано восстановление сводного ИБК до +2,2 п.</w:t>
      </w:r>
      <w:r w:rsidR="00BF66C4">
        <w:rPr>
          <w:rFonts w:ascii="Arial" w:hAnsi="Arial"/>
          <w:color w:val="1A1A1A"/>
        </w:rPr>
        <w:t>, в мае он составил +1,7п., снизившись с апрельского уровня</w:t>
      </w:r>
      <w:r>
        <w:rPr>
          <w:rFonts w:ascii="Arial" w:hAnsi="Arial"/>
          <w:color w:val="1A1A1A"/>
        </w:rPr>
        <w:t>: по данным ЦБ, «инвестиционная активность компаний в I квартале 2026 года уменьшилась, но предприятия ожидают некоторого её увеличения во II квартале».</w:t>
      </w:r>
    </w:p>
    <w:p w14:paraId="7ACDEE89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PMI: одиннадцатый месяц сокращения деловой активности в обработке</w:t>
      </w:r>
    </w:p>
    <w:p w14:paraId="4944F44E" w14:textId="77777777" w:rsidR="00CF1B66" w:rsidRDefault="00994877">
      <w:pPr>
        <w:spacing w:before="160" w:after="80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646B3614" wp14:editId="00068D23">
            <wp:extent cx="3674690" cy="2219066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3674690" cy="221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D3BF5" w14:textId="77777777" w:rsidR="00CF1B66" w:rsidRDefault="00994877">
      <w:pPr>
        <w:spacing w:after="60"/>
        <w:rPr>
          <w:rFonts w:ascii="Arial" w:hAnsi="Arial"/>
        </w:rPr>
      </w:pPr>
      <w:r>
        <w:rPr>
          <w:rFonts w:ascii="Arial" w:hAnsi="Arial"/>
          <w:b/>
          <w:i/>
          <w:color w:val="5A5A5A"/>
          <w:sz w:val="18"/>
        </w:rPr>
        <w:t>Рисунок 4. Индексы PMI S&amp;P Global для России, июнь 2025 – апрель 2026</w:t>
      </w:r>
    </w:p>
    <w:p w14:paraId="14D22E3A" w14:textId="77777777" w:rsidR="00CF1B66" w:rsidRPr="001A61D6" w:rsidRDefault="00994877">
      <w:pPr>
        <w:spacing w:after="200" w:line="300" w:lineRule="auto"/>
        <w:rPr>
          <w:rFonts w:ascii="Arial" w:hAnsi="Arial"/>
          <w:lang w:val="en-US"/>
        </w:rPr>
      </w:pPr>
      <w:r>
        <w:rPr>
          <w:rFonts w:ascii="Arial" w:hAnsi="Arial"/>
          <w:i/>
          <w:color w:val="5A5A5A"/>
          <w:sz w:val="17"/>
        </w:rPr>
        <w:t>Источник</w:t>
      </w:r>
      <w:r w:rsidRPr="001A61D6">
        <w:rPr>
          <w:rFonts w:ascii="Arial" w:hAnsi="Arial"/>
          <w:i/>
          <w:color w:val="5A5A5A"/>
          <w:sz w:val="17"/>
          <w:lang w:val="en-US"/>
        </w:rPr>
        <w:t xml:space="preserve">: </w:t>
      </w:r>
      <w:hyperlink r:id="rId37" w:history="1">
        <w:r w:rsidRPr="001A61D6">
          <w:rPr>
            <w:rStyle w:val="ac"/>
            <w:rFonts w:ascii="Arial" w:hAnsi="Arial"/>
            <w:i/>
            <w:sz w:val="17"/>
            <w:lang w:val="en-US"/>
          </w:rPr>
          <w:t>S&amp;P Global Market Intelligence</w:t>
        </w:r>
      </w:hyperlink>
    </w:p>
    <w:p w14:paraId="5E44233C" w14:textId="77777777" w:rsidR="00CF1B66" w:rsidRDefault="00994877">
      <w:pPr>
        <w:spacing w:after="100" w:line="300" w:lineRule="auto"/>
        <w:jc w:val="both"/>
        <w:rPr>
          <w:rFonts w:ascii="Arial" w:hAnsi="Arial"/>
          <w:color w:val="1A1A1A"/>
        </w:rPr>
      </w:pPr>
      <w:r>
        <w:rPr>
          <w:rFonts w:ascii="Arial" w:hAnsi="Arial"/>
          <w:color w:val="1A1A1A"/>
        </w:rPr>
        <w:t>PMI обрабатывающей промышленности находится ниже 50 пунктов одиннадцатый месяц подряд — самая продолжительная серия сокращения с 2022 г. PMI сферы услуг в марте 2026 г. впервые за полгода перешел в зону сокращения (49,5 п.). Индекс деловой активности (PMI) в секторе услуг рассчитывается S&amp;P Global посредством ежемесячного анкетирования менеджеров по закупкам. Мониторинг охватывает ИТ, финансовый, транспортный и страховой секторы, а также связь, недвижимость и b2b-услуги. Показатель отражает помесячную динамику отрасли в диапазоне от 0 до 100 пунктов. При этом отметка в 50 пунктов служит водоразделом: значения выше нее сигнализируют о расширении активности, а ниже — о ее сокращении.</w:t>
      </w:r>
    </w:p>
    <w:p w14:paraId="7708AF87" w14:textId="77777777" w:rsidR="00CF1B66" w:rsidRDefault="00994877">
      <w:pPr>
        <w:pStyle w:val="2"/>
        <w:rPr>
          <w:rFonts w:ascii="Arial" w:hAnsi="Arial"/>
        </w:rPr>
      </w:pPr>
      <w:r>
        <w:rPr>
          <w:rFonts w:ascii="Arial" w:hAnsi="Arial"/>
        </w:rPr>
        <w:t>RSBI и индексы РСПП / ИНП РАН</w:t>
      </w:r>
    </w:p>
    <w:p w14:paraId="2342BC1D" w14:textId="77777777" w:rsidR="00CF1B66" w:rsidRDefault="00994877">
      <w:pPr>
        <w:spacing w:before="160" w:after="80"/>
        <w:rPr>
          <w:rFonts w:ascii="Arial" w:hAnsi="Arial"/>
        </w:rPr>
      </w:pPr>
      <w:r>
        <w:rPr>
          <w:rFonts w:ascii="Arial" w:hAnsi="Arial"/>
          <w:b/>
          <w:color w:val="01696F"/>
          <w:sz w:val="19"/>
        </w:rPr>
        <w:t xml:space="preserve">Таблица 5.2. </w:t>
      </w:r>
      <w:r>
        <w:rPr>
          <w:rFonts w:ascii="Arial" w:hAnsi="Arial"/>
          <w:b/>
          <w:color w:val="1A1A1A"/>
          <w:sz w:val="19"/>
        </w:rPr>
        <w:t>Индекс деловой среды РСПП, январь–февраль 2026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900"/>
        <w:gridCol w:w="2200"/>
        <w:gridCol w:w="2446"/>
      </w:tblGrid>
      <w:tr w:rsidR="00CF1B66" w14:paraId="5572C17D" w14:textId="77777777">
        <w:trPr>
          <w:tblHeader/>
        </w:trPr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3777EE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Месяц</w:t>
            </w:r>
          </w:p>
        </w:tc>
        <w:tc>
          <w:tcPr>
            <w:tcW w:w="29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00C5AB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Сводный индекс РСПП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9AC13A6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Δ месяц к месяцу</w:t>
            </w:r>
          </w:p>
        </w:tc>
        <w:tc>
          <w:tcPr>
            <w:tcW w:w="2446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7AC209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Сигнал</w:t>
            </w:r>
          </w:p>
        </w:tc>
      </w:tr>
      <w:tr w:rsidR="00CF1B66" w14:paraId="6155DE7A" w14:textId="77777777"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75B9AB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Декабрь 2025</w:t>
            </w:r>
          </w:p>
        </w:tc>
        <w:tc>
          <w:tcPr>
            <w:tcW w:w="2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60A61E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46,1</w:t>
            </w:r>
          </w:p>
        </w:tc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D1B44D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–0,5 п.</w:t>
            </w:r>
          </w:p>
        </w:tc>
        <w:tc>
          <w:tcPr>
            <w:tcW w:w="24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FEBAEC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Зона спада</w:t>
            </w:r>
          </w:p>
        </w:tc>
      </w:tr>
      <w:tr w:rsidR="00CF1B66" w14:paraId="362C70FE" w14:textId="77777777"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44D9FE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Январь 2026</w:t>
            </w:r>
          </w:p>
        </w:tc>
        <w:tc>
          <w:tcPr>
            <w:tcW w:w="2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6BBFCA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44,1</w:t>
            </w:r>
          </w:p>
        </w:tc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A96C0B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8B1E1E"/>
                <w:sz w:val="19"/>
              </w:rPr>
              <w:t>−2,0 п.</w:t>
            </w:r>
          </w:p>
        </w:tc>
        <w:tc>
          <w:tcPr>
            <w:tcW w:w="24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A2BCA9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Ухудшение</w:t>
            </w:r>
          </w:p>
        </w:tc>
      </w:tr>
      <w:tr w:rsidR="00CF1B66" w14:paraId="346D41A9" w14:textId="77777777"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F792B1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Февраль 2026</w:t>
            </w:r>
          </w:p>
        </w:tc>
        <w:tc>
          <w:tcPr>
            <w:tcW w:w="2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C38902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45,5</w:t>
            </w:r>
          </w:p>
        </w:tc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6C0377" w14:textId="77777777" w:rsidR="00CF1B66" w:rsidRDefault="00994877">
            <w:pPr>
              <w:jc w:val="center"/>
              <w:rPr>
                <w:rFonts w:ascii="Arial" w:hAnsi="Arial"/>
                <w:color w:val="8B1E1E"/>
                <w:sz w:val="19"/>
              </w:rPr>
            </w:pPr>
            <w:r>
              <w:rPr>
                <w:rFonts w:ascii="Arial" w:hAnsi="Arial"/>
                <w:color w:val="0F7B3F"/>
                <w:sz w:val="19"/>
              </w:rPr>
              <w:t>+1,4 п.</w:t>
            </w:r>
          </w:p>
        </w:tc>
        <w:tc>
          <w:tcPr>
            <w:tcW w:w="24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CDE23E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Стабилизация</w:t>
            </w:r>
          </w:p>
        </w:tc>
      </w:tr>
      <w:tr w:rsidR="00CF1B66" w14:paraId="12147CFD" w14:textId="77777777"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7CC1C4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Март 2026</w:t>
            </w:r>
          </w:p>
        </w:tc>
        <w:tc>
          <w:tcPr>
            <w:tcW w:w="2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226014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43,8</w:t>
            </w:r>
          </w:p>
        </w:tc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CCE458" w14:textId="77777777" w:rsidR="00CF1B66" w:rsidRDefault="00994877">
            <w:pPr>
              <w:jc w:val="center"/>
              <w:rPr>
                <w:rFonts w:ascii="Arial" w:hAnsi="Arial"/>
                <w:color w:val="8B1E1E"/>
                <w:sz w:val="19"/>
              </w:rPr>
            </w:pPr>
            <w:r>
              <w:rPr>
                <w:rFonts w:ascii="Arial" w:hAnsi="Arial"/>
                <w:color w:val="8B1E1E"/>
                <w:sz w:val="19"/>
              </w:rPr>
              <w:t>–1,7 п.</w:t>
            </w:r>
          </w:p>
        </w:tc>
        <w:tc>
          <w:tcPr>
            <w:tcW w:w="24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60A7DC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Ухудшение (минимум за 12 мес.)</w:t>
            </w:r>
          </w:p>
        </w:tc>
      </w:tr>
      <w:tr w:rsidR="00CF1B66" w14:paraId="4EAF7240" w14:textId="77777777"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0BB620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Апрель 2026</w:t>
            </w:r>
          </w:p>
        </w:tc>
        <w:tc>
          <w:tcPr>
            <w:tcW w:w="29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56B6A6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46,2</w:t>
            </w:r>
          </w:p>
        </w:tc>
        <w:tc>
          <w:tcPr>
            <w:tcW w:w="22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A9F405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0F7B3F"/>
                <w:sz w:val="19"/>
              </w:rPr>
              <w:t>+2,4 п.</w:t>
            </w:r>
          </w:p>
        </w:tc>
        <w:tc>
          <w:tcPr>
            <w:tcW w:w="2446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032500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Повышение</w:t>
            </w:r>
          </w:p>
        </w:tc>
      </w:tr>
    </w:tbl>
    <w:p w14:paraId="3BBEE7D4" w14:textId="77777777" w:rsidR="00CF1B66" w:rsidRDefault="00994877">
      <w:pPr>
        <w:spacing w:before="40" w:after="200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 xml:space="preserve">Источник: </w:t>
      </w:r>
      <w:hyperlink r:id="rId38" w:history="1">
        <w:r>
          <w:rPr>
            <w:rStyle w:val="ac"/>
            <w:rFonts w:ascii="Arial" w:hAnsi="Arial"/>
            <w:i/>
            <w:sz w:val="17"/>
          </w:rPr>
          <w:t>РСПП — индекс деловой среды</w:t>
        </w:r>
      </w:hyperlink>
    </w:p>
    <w:p w14:paraId="25D07D0B" w14:textId="77777777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>По данным РСПП, негативная динамика в марте в первую очередь была связана с ухудшением личных оценок состояния делового климата в стране. Также в отрицательную сторону изменились значения Индексов B2B, B2G и Индекса финансовых рынков. В апреле индекс повысился до 46,2 пунктов. Конъюнктурные опросы ИНП РАН показывают, что настроения российской промышленности по-прежнему находятся в зоне пессимизма, хотя в апреле и повысились на 7 п. (а в мае сохранили этот показатель).</w:t>
      </w:r>
    </w:p>
    <w:p w14:paraId="4A59DE58" w14:textId="77777777" w:rsidR="00CF1B66" w:rsidRDefault="00994877">
      <w:pPr>
        <w:spacing w:after="100" w:line="300" w:lineRule="auto"/>
        <w:jc w:val="both"/>
        <w:rPr>
          <w:rFonts w:ascii="Arial" w:hAnsi="Arial"/>
        </w:rPr>
      </w:pPr>
      <w:r>
        <w:rPr>
          <w:rFonts w:ascii="Arial" w:hAnsi="Arial"/>
          <w:color w:val="1A1A1A"/>
        </w:rPr>
        <w:t xml:space="preserve">Индекс RSBI малых и средних предприятий, ранее </w:t>
      </w:r>
      <w:hyperlink r:id="rId39" w:history="1">
        <w:r>
          <w:rPr>
            <w:rStyle w:val="ac"/>
            <w:rFonts w:ascii="Arial" w:hAnsi="Arial"/>
          </w:rPr>
          <w:t>публиковавшийся</w:t>
        </w:r>
      </w:hyperlink>
      <w:r>
        <w:rPr>
          <w:rFonts w:ascii="Arial" w:hAnsi="Arial"/>
          <w:color w:val="1A1A1A"/>
        </w:rPr>
        <w:t xml:space="preserve"> ПСБ и «Опорой России» на ежемесячной основе, не выпускался в 2026 году. Можно предположить, что это обусловлено увеличением налоговой нагрузки на бизнес с начала года, однако в официальных пресс-релизах о причинах приостановки публикаций не сообщалось. В 2025 году индекс RSBI МСП колебался около 50 пунктов (нейтральный уровень) со снижением в летний период и повышением к концу года до 54,5 пунктов.</w:t>
      </w:r>
    </w:p>
    <w:p w14:paraId="74B3BD84" w14:textId="77777777" w:rsidR="00CF1B66" w:rsidRDefault="00994877">
      <w:pPr>
        <w:spacing w:before="160" w:after="80"/>
        <w:rPr>
          <w:rFonts w:ascii="Arial" w:hAnsi="Arial"/>
        </w:rPr>
      </w:pPr>
      <w:r>
        <w:rPr>
          <w:rFonts w:ascii="Arial" w:hAnsi="Arial"/>
          <w:b/>
          <w:color w:val="01696F"/>
          <w:sz w:val="19"/>
        </w:rPr>
        <w:t xml:space="preserve">Таблица 5.3. </w:t>
      </w:r>
      <w:r>
        <w:rPr>
          <w:rFonts w:ascii="Arial" w:hAnsi="Arial"/>
          <w:b/>
          <w:color w:val="1A1A1A"/>
          <w:sz w:val="19"/>
        </w:rPr>
        <w:t>Индекс RSBI МСП, май–декабрь 2025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500"/>
      </w:tblGrid>
      <w:tr w:rsidR="00CF1B66" w14:paraId="7636979E" w14:textId="77777777">
        <w:trPr>
          <w:tblHeader/>
          <w:jc w:val="center"/>
        </w:trPr>
        <w:tc>
          <w:tcPr>
            <w:tcW w:w="2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7A7235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Месяц</w:t>
            </w:r>
          </w:p>
        </w:tc>
        <w:tc>
          <w:tcPr>
            <w:tcW w:w="25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01696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A7C1B78" w14:textId="77777777" w:rsidR="00CF1B66" w:rsidRDefault="009948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  <w:sz w:val="19"/>
              </w:rPr>
              <w:t>Индекс RSBI, пунктов</w:t>
            </w:r>
          </w:p>
        </w:tc>
      </w:tr>
      <w:tr w:rsidR="00CF1B66" w14:paraId="5D3B76F7" w14:textId="77777777">
        <w:trPr>
          <w:jc w:val="center"/>
        </w:trPr>
        <w:tc>
          <w:tcPr>
            <w:tcW w:w="24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637E1D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Май 2025</w:t>
            </w:r>
          </w:p>
        </w:tc>
        <w:tc>
          <w:tcPr>
            <w:tcW w:w="25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2EE9DFCD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50,9</w:t>
            </w:r>
          </w:p>
        </w:tc>
      </w:tr>
      <w:tr w:rsidR="00CF1B66" w14:paraId="4E32C40B" w14:textId="77777777">
        <w:trPr>
          <w:jc w:val="center"/>
        </w:trPr>
        <w:tc>
          <w:tcPr>
            <w:tcW w:w="24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4FC41C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Июнь 2025</w:t>
            </w:r>
          </w:p>
        </w:tc>
        <w:tc>
          <w:tcPr>
            <w:tcW w:w="25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082352F9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51</w:t>
            </w:r>
          </w:p>
        </w:tc>
      </w:tr>
      <w:tr w:rsidR="00CF1B66" w14:paraId="4AB19E81" w14:textId="77777777">
        <w:trPr>
          <w:jc w:val="center"/>
        </w:trPr>
        <w:tc>
          <w:tcPr>
            <w:tcW w:w="24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97AC92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Август 2025</w:t>
            </w:r>
          </w:p>
        </w:tc>
        <w:tc>
          <w:tcPr>
            <w:tcW w:w="25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31C416F6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50</w:t>
            </w:r>
          </w:p>
        </w:tc>
      </w:tr>
      <w:tr w:rsidR="00CF1B66" w14:paraId="10934033" w14:textId="77777777">
        <w:trPr>
          <w:jc w:val="center"/>
        </w:trPr>
        <w:tc>
          <w:tcPr>
            <w:tcW w:w="24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1A8B1D" w14:textId="77777777" w:rsidR="00CF1B66" w:rsidRDefault="009948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  <w:sz w:val="19"/>
              </w:rPr>
              <w:t>Сентябрь 2025</w:t>
            </w:r>
          </w:p>
        </w:tc>
        <w:tc>
          <w:tcPr>
            <w:tcW w:w="25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64579F9D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50,4</w:t>
            </w:r>
          </w:p>
        </w:tc>
      </w:tr>
      <w:tr w:rsidR="00CF1B66" w14:paraId="0D625BB3" w14:textId="77777777">
        <w:trPr>
          <w:jc w:val="center"/>
        </w:trPr>
        <w:tc>
          <w:tcPr>
            <w:tcW w:w="24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12A929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Октябрь 2025</w:t>
            </w:r>
          </w:p>
        </w:tc>
        <w:tc>
          <w:tcPr>
            <w:tcW w:w="25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72F0726B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49,6</w:t>
            </w:r>
          </w:p>
        </w:tc>
      </w:tr>
      <w:tr w:rsidR="00CF1B66" w14:paraId="28EDFD9A" w14:textId="77777777">
        <w:trPr>
          <w:jc w:val="center"/>
        </w:trPr>
        <w:tc>
          <w:tcPr>
            <w:tcW w:w="24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649A00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Ноябрь 2025</w:t>
            </w:r>
          </w:p>
        </w:tc>
        <w:tc>
          <w:tcPr>
            <w:tcW w:w="25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shd w:val="clear" w:color="auto" w:fill="F4F1EC"/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5B74BFC6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52,6</w:t>
            </w:r>
          </w:p>
        </w:tc>
      </w:tr>
      <w:tr w:rsidR="00CF1B66" w14:paraId="2BEAC7D2" w14:textId="77777777">
        <w:trPr>
          <w:jc w:val="center"/>
        </w:trPr>
        <w:tc>
          <w:tcPr>
            <w:tcW w:w="24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26BB49" w14:textId="77777777" w:rsidR="00CF1B66" w:rsidRDefault="00994877">
            <w:pPr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Декабрь 2025</w:t>
            </w:r>
          </w:p>
        </w:tc>
        <w:tc>
          <w:tcPr>
            <w:tcW w:w="2500" w:type="dxa"/>
            <w:tcBorders>
              <w:top w:val="single" w:sz="2" w:space="0" w:color="D8D8D8"/>
              <w:left w:val="single" w:sz="2" w:space="0" w:color="D8D8D8"/>
              <w:bottom w:val="single" w:sz="2" w:space="0" w:color="D8D8D8"/>
              <w:right w:val="single" w:sz="2" w:space="0" w:color="D8D8D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bottom"/>
          </w:tcPr>
          <w:p w14:paraId="61EBBE27" w14:textId="77777777" w:rsidR="00CF1B66" w:rsidRDefault="00994877">
            <w:pPr>
              <w:jc w:val="center"/>
              <w:rPr>
                <w:rFonts w:ascii="Arial" w:hAnsi="Arial"/>
                <w:color w:val="1A1A1A"/>
                <w:sz w:val="19"/>
              </w:rPr>
            </w:pPr>
            <w:r>
              <w:rPr>
                <w:rFonts w:ascii="Arial" w:hAnsi="Arial"/>
                <w:color w:val="1A1A1A"/>
                <w:sz w:val="19"/>
              </w:rPr>
              <w:t>54,3</w:t>
            </w:r>
          </w:p>
        </w:tc>
      </w:tr>
    </w:tbl>
    <w:p w14:paraId="69007B1C" w14:textId="77777777" w:rsidR="00CF1B66" w:rsidRDefault="00994877">
      <w:pPr>
        <w:spacing w:before="40" w:after="200"/>
        <w:rPr>
          <w:rFonts w:ascii="Arial" w:hAnsi="Arial"/>
        </w:rPr>
      </w:pPr>
      <w:r>
        <w:rPr>
          <w:rFonts w:ascii="Arial" w:hAnsi="Arial"/>
          <w:i/>
          <w:color w:val="5A5A5A"/>
          <w:sz w:val="17"/>
        </w:rPr>
        <w:t xml:space="preserve">Источник: </w:t>
      </w:r>
      <w:hyperlink r:id="rId40" w:history="1">
        <w:r>
          <w:rPr>
            <w:rStyle w:val="ac"/>
            <w:rFonts w:ascii="Arial" w:hAnsi="Arial"/>
            <w:i/>
            <w:sz w:val="17"/>
          </w:rPr>
          <w:t>ПСБ, «Опора России»</w:t>
        </w:r>
      </w:hyperlink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CF1B66" w14:paraId="12CED931" w14:textId="77777777" w:rsidTr="00BF66C4">
        <w:trPr>
          <w:trHeight w:val="651"/>
        </w:trPr>
        <w:tc>
          <w:tcPr>
            <w:tcW w:w="9746" w:type="dxa"/>
            <w:tcBorders>
              <w:top w:val="single" w:sz="8" w:space="0" w:color="01696F"/>
              <w:left w:val="single" w:sz="24" w:space="0" w:color="01696F"/>
              <w:bottom w:val="single" w:sz="4" w:space="0" w:color="01696F"/>
              <w:right w:val="single" w:sz="4" w:space="0" w:color="01696F"/>
            </w:tcBorders>
            <w:shd w:val="clear" w:color="auto" w:fill="F7F4ED"/>
            <w:tcMar>
              <w:top w:w="180" w:type="dxa"/>
              <w:left w:w="240" w:type="dxa"/>
              <w:bottom w:w="180" w:type="dxa"/>
              <w:right w:w="200" w:type="dxa"/>
            </w:tcMar>
          </w:tcPr>
          <w:p w14:paraId="527FC760" w14:textId="77777777" w:rsidR="00CF1B66" w:rsidRDefault="00994877">
            <w:pPr>
              <w:spacing w:after="8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1696F"/>
                <w:sz w:val="22"/>
              </w:rPr>
              <w:t>Вывод по блоку 5</w:t>
            </w:r>
          </w:p>
          <w:p w14:paraId="0B107E6D" w14:textId="604F7E20" w:rsidR="00CF1B66" w:rsidRDefault="00994877">
            <w:pPr>
              <w:spacing w:line="30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1A1A1A"/>
              </w:rPr>
              <w:t xml:space="preserve">Инвестиционные настроения в I кв. 2026 можно оценить как слабые. Текущие оценки бизнес-климата ЦБ опускались до –0,1 п. в мае, что стало первым отрицательным значением показателя с осени 2022 г. PMI обработки 11-й подряд месяц ниже 50; PMI услуг впервые за 6 месяцев ушел в спад. РСПП также фиксировал спад деловых настроений, индекс которых в марте достиг минимума за 12 месяцев. При этом инфраструктурное ядро — мегапроекты с государственным участием — продолжает реализовываться вне зависимости от настроений рынка. Сигналы апреля </w:t>
            </w:r>
            <w:r w:rsidR="00BF66C4">
              <w:rPr>
                <w:rFonts w:ascii="Arial" w:hAnsi="Arial"/>
                <w:color w:val="1A1A1A"/>
              </w:rPr>
              <w:t xml:space="preserve">и мая </w:t>
            </w:r>
            <w:r>
              <w:rPr>
                <w:rFonts w:ascii="Arial" w:hAnsi="Arial"/>
                <w:color w:val="1A1A1A"/>
              </w:rPr>
              <w:t>(ИБК +2,2 п.</w:t>
            </w:r>
            <w:r w:rsidR="00BF66C4">
              <w:rPr>
                <w:rFonts w:ascii="Arial" w:hAnsi="Arial"/>
                <w:color w:val="1A1A1A"/>
              </w:rPr>
              <w:t xml:space="preserve"> и +1,7 п. соответственно,</w:t>
            </w:r>
            <w:r>
              <w:rPr>
                <w:rFonts w:ascii="Arial" w:hAnsi="Arial"/>
                <w:color w:val="1A1A1A"/>
              </w:rPr>
              <w:t xml:space="preserve"> рост ожиданий)</w:t>
            </w:r>
            <w:r w:rsidR="00BF66C4">
              <w:rPr>
                <w:rFonts w:ascii="Arial" w:hAnsi="Arial"/>
                <w:color w:val="1A1A1A"/>
              </w:rPr>
              <w:t xml:space="preserve"> могли бы</w:t>
            </w:r>
            <w:r>
              <w:rPr>
                <w:rFonts w:ascii="Arial" w:hAnsi="Arial"/>
                <w:color w:val="1A1A1A"/>
              </w:rPr>
              <w:t xml:space="preserve"> указыва</w:t>
            </w:r>
            <w:r w:rsidR="00BF66C4">
              <w:rPr>
                <w:rFonts w:ascii="Arial" w:hAnsi="Arial"/>
                <w:color w:val="1A1A1A"/>
              </w:rPr>
              <w:t>ть</w:t>
            </w:r>
            <w:r>
              <w:rPr>
                <w:rFonts w:ascii="Arial" w:hAnsi="Arial"/>
                <w:color w:val="1A1A1A"/>
              </w:rPr>
              <w:t xml:space="preserve"> на возможность частичной нормализации во II квартале</w:t>
            </w:r>
            <w:r w:rsidR="00BF66C4">
              <w:rPr>
                <w:rFonts w:ascii="Arial" w:hAnsi="Arial"/>
                <w:color w:val="1A1A1A"/>
              </w:rPr>
              <w:t>, однако это потребовало бы конкретных мер по стимулированию инвестиционной активности, предполагающих как общее улучшение макроусловий, так и специальных инструментов по предоставлению предприятиям инвестиционной ликвидности.</w:t>
            </w:r>
          </w:p>
        </w:tc>
      </w:tr>
    </w:tbl>
    <w:p w14:paraId="246EEC1E" w14:textId="77777777" w:rsidR="00CF1B66" w:rsidRDefault="00CF1B66">
      <w:pPr>
        <w:spacing w:before="30" w:after="60" w:line="290" w:lineRule="auto"/>
        <w:rPr>
          <w:rFonts w:ascii="Arial" w:hAnsi="Arial"/>
        </w:rPr>
      </w:pPr>
    </w:p>
    <w:sectPr w:rsidR="00CF1B66">
      <w:headerReference w:type="default" r:id="rId41"/>
      <w:footerReference w:type="even" r:id="rId42"/>
      <w:footerReference w:type="default" r:id="rId43"/>
      <w:pgSz w:w="11906" w:h="16838"/>
      <w:pgMar w:top="1080" w:right="1080" w:bottom="108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FEF3" w14:textId="77777777" w:rsidR="00C324F2" w:rsidRDefault="00C324F2">
      <w:r>
        <w:separator/>
      </w:r>
    </w:p>
  </w:endnote>
  <w:endnote w:type="continuationSeparator" w:id="0">
    <w:p w14:paraId="5CE7E577" w14:textId="77777777" w:rsidR="00C324F2" w:rsidRDefault="00C3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EBF3" w14:textId="77777777" w:rsidR="00CF1B66" w:rsidRDefault="00CF1B66"/>
  <w:p w14:paraId="3E30CC67" w14:textId="77777777" w:rsidR="00CF1B66" w:rsidRDefault="00994877">
    <w:pPr>
      <w:pStyle w:val="af6"/>
      <w:framePr w:h="0" w:wrap="none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</w:instrText>
    </w:r>
    <w:r>
      <w:rPr>
        <w:rStyle w:val="af1"/>
      </w:rPr>
      <w:fldChar w:fldCharType="separate"/>
    </w:r>
    <w:r>
      <w:rPr>
        <w:rStyle w:val="af1"/>
      </w:rPr>
      <w:t xml:space="preserve"> </w:t>
    </w:r>
    <w:r>
      <w:rPr>
        <w:rStyle w:val="af1"/>
      </w:rPr>
      <w:fldChar w:fldCharType="end"/>
    </w:r>
  </w:p>
  <w:p w14:paraId="711E6075" w14:textId="77777777" w:rsidR="00CF1B66" w:rsidRDefault="00CF1B66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4ED7" w14:textId="77777777" w:rsidR="00CF1B66" w:rsidRDefault="00CF1B66"/>
  <w:p w14:paraId="053878A8" w14:textId="77777777" w:rsidR="00CF1B66" w:rsidRDefault="00994877">
    <w:pPr>
      <w:pStyle w:val="af6"/>
      <w:framePr w:h="0" w:wrap="none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af1"/>
      </w:rPr>
    </w:pPr>
    <w:r>
      <w:rPr>
        <w:rStyle w:val="af1"/>
        <w:rFonts w:ascii="Arial" w:hAnsi="Arial"/>
      </w:rPr>
      <w:fldChar w:fldCharType="begin"/>
    </w:r>
    <w:r>
      <w:rPr>
        <w:rStyle w:val="af1"/>
        <w:rFonts w:ascii="Arial" w:hAnsi="Arial"/>
      </w:rPr>
      <w:instrText xml:space="preserve">PAGE </w:instrText>
    </w:r>
    <w:r>
      <w:rPr>
        <w:rStyle w:val="af1"/>
        <w:rFonts w:ascii="Arial" w:hAnsi="Arial"/>
      </w:rPr>
      <w:fldChar w:fldCharType="separate"/>
    </w:r>
    <w:r>
      <w:rPr>
        <w:rStyle w:val="af1"/>
        <w:rFonts w:ascii="Arial" w:hAnsi="Arial"/>
      </w:rPr>
      <w:t xml:space="preserve"> </w:t>
    </w:r>
    <w:r>
      <w:rPr>
        <w:rStyle w:val="af1"/>
        <w:rFonts w:ascii="Arial" w:hAnsi="Arial"/>
      </w:rPr>
      <w:fldChar w:fldCharType="end"/>
    </w:r>
  </w:p>
  <w:p w14:paraId="627983BF" w14:textId="77777777" w:rsidR="00CF1B66" w:rsidRDefault="00CF1B66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302E" w14:textId="77777777" w:rsidR="00CF1B66" w:rsidRDefault="00CF1B66"/>
  <w:p w14:paraId="12973154" w14:textId="77777777" w:rsidR="00CF1B66" w:rsidRDefault="00994877">
    <w:pPr>
      <w:pStyle w:val="af6"/>
      <w:framePr w:h="0" w:wrap="none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</w:instrText>
    </w:r>
    <w:r>
      <w:rPr>
        <w:rStyle w:val="af1"/>
      </w:rPr>
      <w:fldChar w:fldCharType="separate"/>
    </w:r>
    <w:r>
      <w:rPr>
        <w:rStyle w:val="af1"/>
      </w:rPr>
      <w:t xml:space="preserve"> </w:t>
    </w:r>
    <w:r>
      <w:rPr>
        <w:rStyle w:val="af1"/>
      </w:rPr>
      <w:fldChar w:fldCharType="end"/>
    </w:r>
  </w:p>
  <w:p w14:paraId="4D4C1B1D" w14:textId="77777777" w:rsidR="00CF1B66" w:rsidRDefault="00CF1B66">
    <w:pPr>
      <w:pStyle w:val="af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E04B" w14:textId="77777777" w:rsidR="00CF1B66" w:rsidRDefault="00CF1B66"/>
  <w:p w14:paraId="5B5F59B6" w14:textId="77777777" w:rsidR="00CF1B66" w:rsidRDefault="00994877">
    <w:pPr>
      <w:pStyle w:val="af6"/>
      <w:framePr w:h="0" w:wrap="none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af1"/>
      </w:rPr>
    </w:pPr>
    <w:r>
      <w:rPr>
        <w:rStyle w:val="af1"/>
        <w:rFonts w:ascii="Arial" w:hAnsi="Arial"/>
      </w:rPr>
      <w:fldChar w:fldCharType="begin"/>
    </w:r>
    <w:r>
      <w:rPr>
        <w:rStyle w:val="af1"/>
        <w:rFonts w:ascii="Arial" w:hAnsi="Arial"/>
      </w:rPr>
      <w:instrText xml:space="preserve">PAGE </w:instrText>
    </w:r>
    <w:r>
      <w:rPr>
        <w:rStyle w:val="af1"/>
        <w:rFonts w:ascii="Arial" w:hAnsi="Arial"/>
      </w:rPr>
      <w:fldChar w:fldCharType="separate"/>
    </w:r>
    <w:r>
      <w:rPr>
        <w:rStyle w:val="af1"/>
        <w:rFonts w:ascii="Arial" w:hAnsi="Arial"/>
      </w:rPr>
      <w:t xml:space="preserve"> </w:t>
    </w:r>
    <w:r>
      <w:rPr>
        <w:rStyle w:val="af1"/>
        <w:rFonts w:ascii="Arial" w:hAnsi="Arial"/>
      </w:rPr>
      <w:fldChar w:fldCharType="end"/>
    </w:r>
  </w:p>
  <w:p w14:paraId="74018B5C" w14:textId="77777777" w:rsidR="00CF1B66" w:rsidRDefault="00CF1B66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FD4C" w14:textId="77777777" w:rsidR="00C324F2" w:rsidRDefault="00C324F2">
      <w:r>
        <w:separator/>
      </w:r>
    </w:p>
  </w:footnote>
  <w:footnote w:type="continuationSeparator" w:id="0">
    <w:p w14:paraId="02163BBA" w14:textId="77777777" w:rsidR="00C324F2" w:rsidRDefault="00C324F2">
      <w:r>
        <w:continuationSeparator/>
      </w:r>
    </w:p>
  </w:footnote>
  <w:footnote w:id="1">
    <w:p w14:paraId="38159586" w14:textId="77777777" w:rsidR="00CF1B66" w:rsidRDefault="00994877">
      <w:pPr>
        <w:pStyle w:val="Footnote"/>
        <w:rPr>
          <w:rFonts w:ascii="Arial" w:hAnsi="Arial"/>
        </w:rPr>
      </w:pPr>
      <w:r>
        <w:rPr>
          <w:rFonts w:ascii="Arial" w:hAnsi="Arial"/>
          <w:vertAlign w:val="superscript"/>
        </w:rPr>
        <w:footnoteRef/>
      </w:r>
      <w:r>
        <w:rPr>
          <w:rFonts w:ascii="Arial" w:hAnsi="Arial"/>
        </w:rPr>
        <w:t xml:space="preserve"> Учитывая </w:t>
      </w:r>
      <w:hyperlink r:id="rId1" w:history="1">
        <w:r>
          <w:rPr>
            <w:rStyle w:val="ac"/>
            <w:rFonts w:ascii="Arial" w:hAnsi="Arial"/>
          </w:rPr>
          <w:t>кризисную ситуацию</w:t>
        </w:r>
      </w:hyperlink>
      <w:r>
        <w:rPr>
          <w:rFonts w:ascii="Arial" w:hAnsi="Arial"/>
        </w:rPr>
        <w:t xml:space="preserve"> на металлургическом рынке России, падение производства металлургической продукции в реальности может быть существенно более радикальным.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940D" w14:textId="77777777" w:rsidR="00CF1B66" w:rsidRDefault="00994877">
    <w:pPr>
      <w:pBdr>
        <w:bottom w:val="single" w:sz="4" w:space="2" w:color="D8D8D8"/>
      </w:pBdr>
      <w:jc w:val="right"/>
    </w:pPr>
    <w:r>
      <w:rPr>
        <w:i/>
        <w:color w:val="5A5A5A"/>
        <w:sz w:val="16"/>
      </w:rPr>
      <w:t>Инвестиции в России · I кв. 2026 · Аналитический дайджест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308B" w14:textId="77777777" w:rsidR="00CF1B66" w:rsidRDefault="00994877">
    <w:pPr>
      <w:pBdr>
        <w:bottom w:val="single" w:sz="4" w:space="2" w:color="D8D8D8"/>
      </w:pBdr>
      <w:jc w:val="right"/>
    </w:pPr>
    <w:r>
      <w:rPr>
        <w:i/>
        <w:color w:val="5A5A5A"/>
        <w:sz w:val="16"/>
      </w:rPr>
      <w:t>Инвестиции в России · I кв. 2026 · Аналитический дайджест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03CBD"/>
    <w:multiLevelType w:val="multilevel"/>
    <w:tmpl w:val="AF90D3EA"/>
    <w:lvl w:ilvl="0">
      <w:start w:val="1"/>
      <w:numFmt w:val="bullet"/>
      <w:lvlText w:val="•"/>
      <w:lvlJc w:val="left"/>
      <w:pPr>
        <w:widowControl/>
        <w:ind w:left="36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66"/>
    <w:rsid w:val="001A61D6"/>
    <w:rsid w:val="00700887"/>
    <w:rsid w:val="00994877"/>
    <w:rsid w:val="00BA1311"/>
    <w:rsid w:val="00BF66C4"/>
    <w:rsid w:val="00C17208"/>
    <w:rsid w:val="00C324F2"/>
    <w:rsid w:val="00C81DB9"/>
    <w:rsid w:val="00CF1B66"/>
    <w:rsid w:val="00DD72B9"/>
    <w:rsid w:val="00E46D06"/>
    <w:rsid w:val="00EB3203"/>
    <w:rsid w:val="00F4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7ED6"/>
  <w15:docId w15:val="{0D688D36-1737-480B-8E30-466DA6F1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1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360" w:after="200"/>
      <w:outlineLvl w:val="0"/>
    </w:pPr>
    <w:rPr>
      <w:b/>
      <w:color w:val="1A1A1A"/>
      <w:sz w:val="36"/>
    </w:rPr>
  </w:style>
  <w:style w:type="paragraph" w:styleId="2">
    <w:name w:val="heading 2"/>
    <w:link w:val="20"/>
    <w:uiPriority w:val="9"/>
    <w:qFormat/>
    <w:pPr>
      <w:spacing w:before="280" w:after="140"/>
      <w:outlineLvl w:val="1"/>
    </w:pPr>
    <w:rPr>
      <w:b/>
      <w:color w:val="01696F"/>
      <w:sz w:val="28"/>
    </w:rPr>
  </w:style>
  <w:style w:type="paragraph" w:styleId="3">
    <w:name w:val="heading 3"/>
    <w:link w:val="30"/>
    <w:uiPriority w:val="9"/>
    <w:qFormat/>
    <w:pPr>
      <w:spacing w:before="220" w:after="100"/>
      <w:outlineLvl w:val="2"/>
    </w:pPr>
    <w:rPr>
      <w:b/>
      <w:color w:val="1A1A1A"/>
      <w:sz w:val="24"/>
    </w:rPr>
  </w:style>
  <w:style w:type="paragraph" w:styleId="4">
    <w:name w:val="heading 4"/>
    <w:link w:val="40"/>
    <w:uiPriority w:val="9"/>
    <w:qFormat/>
    <w:pPr>
      <w:outlineLvl w:val="3"/>
    </w:pPr>
    <w:rPr>
      <w:i/>
      <w:color w:val="2E74B5"/>
    </w:rPr>
  </w:style>
  <w:style w:type="paragraph" w:styleId="5">
    <w:name w:val="heading 5"/>
    <w:link w:val="50"/>
    <w:uiPriority w:val="9"/>
    <w:qFormat/>
    <w:pPr>
      <w:outlineLvl w:val="4"/>
    </w:pPr>
    <w:rPr>
      <w:color w:val="2E74B5"/>
    </w:rPr>
  </w:style>
  <w:style w:type="paragraph" w:styleId="6">
    <w:name w:val="heading 6"/>
    <w:link w:val="60"/>
    <w:uiPriority w:val="9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rPr>
      <w:sz w:val="20"/>
    </w:rPr>
  </w:style>
  <w:style w:type="character" w:customStyle="1" w:styleId="Endnote0">
    <w:name w:val="Endnote"/>
    <w:link w:val="Endnote"/>
    <w:rPr>
      <w:sz w:val="20"/>
    </w:rPr>
  </w:style>
  <w:style w:type="character" w:customStyle="1" w:styleId="30">
    <w:name w:val="Заголовок 3 Знак"/>
    <w:link w:val="3"/>
    <w:rPr>
      <w:b/>
      <w:color w:val="1A1A1A"/>
      <w:sz w:val="24"/>
    </w:rPr>
  </w:style>
  <w:style w:type="paragraph" w:customStyle="1" w:styleId="p1">
    <w:name w:val="p1"/>
    <w:basedOn w:val="a"/>
    <w:link w:val="p10"/>
    <w:rPr>
      <w:rFonts w:ascii="Times New Roman" w:hAnsi="Times New Roman"/>
      <w:sz w:val="18"/>
    </w:rPr>
  </w:style>
  <w:style w:type="character" w:customStyle="1" w:styleId="p10">
    <w:name w:val="p1"/>
    <w:basedOn w:val="1"/>
    <w:link w:val="p1"/>
    <w:rPr>
      <w:rFonts w:ascii="Times New Roman" w:hAnsi="Times New Roman"/>
      <w:color w:val="000000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Неразрешенное упоминание1"/>
    <w:basedOn w:val="12"/>
    <w:link w:val="a3"/>
    <w:rPr>
      <w:color w:val="605E5C"/>
      <w:shd w:val="clear" w:color="auto" w:fill="E1DFDD"/>
    </w:rPr>
  </w:style>
  <w:style w:type="character" w:styleId="a3">
    <w:name w:val="Unresolved Mention"/>
    <w:basedOn w:val="a0"/>
    <w:link w:val="13"/>
    <w:rPr>
      <w:color w:val="605E5C"/>
      <w:shd w:val="clear" w:color="auto" w:fill="E1DFDD"/>
    </w:rPr>
  </w:style>
  <w:style w:type="paragraph" w:customStyle="1" w:styleId="14">
    <w:name w:val="Знак концевой сноски1"/>
    <w:link w:val="a4"/>
    <w:rPr>
      <w:vertAlign w:val="superscript"/>
    </w:rPr>
  </w:style>
  <w:style w:type="character" w:styleId="a4">
    <w:name w:val="endnote reference"/>
    <w:link w:val="14"/>
    <w:rPr>
      <w:vertAlign w:val="superscript"/>
    </w:rPr>
  </w:style>
  <w:style w:type="paragraph" w:customStyle="1" w:styleId="15">
    <w:name w:val="Строгий1"/>
    <w:link w:val="16"/>
    <w:rPr>
      <w:b/>
    </w:rPr>
  </w:style>
  <w:style w:type="character" w:customStyle="1" w:styleId="16">
    <w:name w:val="Строгий1"/>
    <w:link w:val="15"/>
    <w:rPr>
      <w:b/>
    </w:rPr>
  </w:style>
  <w:style w:type="character" w:customStyle="1" w:styleId="50">
    <w:name w:val="Заголовок 5 Знак"/>
    <w:link w:val="5"/>
    <w:rPr>
      <w:color w:val="2E74B5"/>
    </w:rPr>
  </w:style>
  <w:style w:type="paragraph" w:customStyle="1" w:styleId="17">
    <w:name w:val="Знак примечания1"/>
    <w:basedOn w:val="12"/>
    <w:link w:val="a5"/>
    <w:rPr>
      <w:sz w:val="16"/>
    </w:rPr>
  </w:style>
  <w:style w:type="character" w:styleId="a5">
    <w:name w:val="annotation reference"/>
    <w:basedOn w:val="a0"/>
    <w:link w:val="17"/>
    <w:rPr>
      <w:sz w:val="16"/>
    </w:rPr>
  </w:style>
  <w:style w:type="paragraph" w:customStyle="1" w:styleId="18">
    <w:name w:val="Знак сноски1"/>
    <w:link w:val="a6"/>
    <w:rPr>
      <w:vertAlign w:val="superscript"/>
    </w:rPr>
  </w:style>
  <w:style w:type="character" w:styleId="a6">
    <w:name w:val="footnote reference"/>
    <w:link w:val="18"/>
    <w:rPr>
      <w:vertAlign w:val="superscript"/>
    </w:rPr>
  </w:style>
  <w:style w:type="character" w:customStyle="1" w:styleId="11">
    <w:name w:val="Заголовок 1 Знак"/>
    <w:link w:val="10"/>
    <w:rPr>
      <w:b/>
      <w:color w:val="1A1A1A"/>
      <w:sz w:val="36"/>
    </w:rPr>
  </w:style>
  <w:style w:type="paragraph" w:customStyle="1" w:styleId="19">
    <w:name w:val="Просмотренная гиперссылка1"/>
    <w:basedOn w:val="12"/>
    <w:link w:val="a7"/>
    <w:rPr>
      <w:color w:val="954F72" w:themeColor="followedHyperlink"/>
      <w:u w:val="single"/>
    </w:rPr>
  </w:style>
  <w:style w:type="character" w:styleId="a7">
    <w:name w:val="FollowedHyperlink"/>
    <w:basedOn w:val="a0"/>
    <w:link w:val="19"/>
    <w:rPr>
      <w:color w:val="954F72" w:themeColor="followedHyperlink"/>
      <w:u w:val="single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b/>
      <w:sz w:val="20"/>
    </w:rPr>
  </w:style>
  <w:style w:type="paragraph" w:customStyle="1" w:styleId="1a">
    <w:name w:val="Гиперссылка1"/>
    <w:link w:val="ac"/>
    <w:rPr>
      <w:color w:val="0563C1"/>
      <w:u w:val="single"/>
    </w:rPr>
  </w:style>
  <w:style w:type="character" w:styleId="ac">
    <w:name w:val="Hyperlink"/>
    <w:link w:val="1a"/>
    <w:rPr>
      <w:color w:val="0563C1"/>
      <w:u w:val="single"/>
    </w:rPr>
  </w:style>
  <w:style w:type="paragraph" w:customStyle="1" w:styleId="Footnote">
    <w:name w:val="Footnote"/>
    <w:link w:val="Footnote0"/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</w:style>
  <w:style w:type="paragraph" w:styleId="a9">
    <w:name w:val="annotation text"/>
    <w:basedOn w:val="a"/>
    <w:link w:val="ab"/>
    <w:rPr>
      <w:sz w:val="20"/>
    </w:rPr>
  </w:style>
  <w:style w:type="character" w:customStyle="1" w:styleId="ab">
    <w:name w:val="Текст примечания Знак"/>
    <w:basedOn w:val="1"/>
    <w:link w:val="a9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1d">
    <w:name w:val="Номер страницы1"/>
    <w:basedOn w:val="12"/>
    <w:link w:val="af1"/>
  </w:style>
  <w:style w:type="character" w:styleId="af1">
    <w:name w:val="page number"/>
    <w:basedOn w:val="a0"/>
    <w:link w:val="1d"/>
  </w:style>
  <w:style w:type="paragraph" w:styleId="af2">
    <w:name w:val="Title"/>
    <w:link w:val="af3"/>
    <w:uiPriority w:val="10"/>
    <w:qFormat/>
    <w:rPr>
      <w:sz w:val="56"/>
    </w:rPr>
  </w:style>
  <w:style w:type="character" w:customStyle="1" w:styleId="af3">
    <w:name w:val="Заголовок Знак"/>
    <w:link w:val="af2"/>
    <w:rPr>
      <w:sz w:val="56"/>
    </w:rPr>
  </w:style>
  <w:style w:type="paragraph" w:styleId="af4">
    <w:name w:val="List Paragraph"/>
    <w:link w:val="af5"/>
  </w:style>
  <w:style w:type="character" w:customStyle="1" w:styleId="af5">
    <w:name w:val="Абзац списка Знак"/>
    <w:link w:val="af4"/>
  </w:style>
  <w:style w:type="character" w:customStyle="1" w:styleId="40">
    <w:name w:val="Заголовок 4 Знак"/>
    <w:link w:val="4"/>
    <w:rPr>
      <w:i/>
      <w:color w:val="2E74B5"/>
    </w:rPr>
  </w:style>
  <w:style w:type="character" w:customStyle="1" w:styleId="20">
    <w:name w:val="Заголовок 2 Знак"/>
    <w:link w:val="2"/>
    <w:rPr>
      <w:b/>
      <w:color w:val="01696F"/>
      <w:sz w:val="28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</w:style>
  <w:style w:type="character" w:customStyle="1" w:styleId="60">
    <w:name w:val="Заголовок 6 Знак"/>
    <w:link w:val="6"/>
    <w:rPr>
      <w:color w:val="1F4D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onomy.gov.ru/material/file/download/ca26b5951c8e525f6ff3b2a13e72bdff/scenarnye_usloviya_funkcionirovaniya_ekonomiki_rf_2026.pdf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rosstat.gov.ru/storage/mediabank/32_11-03-2026.html" TargetMode="External"/><Relationship Id="rId39" Type="http://schemas.openxmlformats.org/officeDocument/2006/relationships/hyperlink" Target="https://www.psbank.ru/business/rsbi" TargetMode="External"/><Relationship Id="rId21" Type="http://schemas.openxmlformats.org/officeDocument/2006/relationships/image" Target="media/image2.png"/><Relationship Id="rId34" Type="http://schemas.openxmlformats.org/officeDocument/2006/relationships/image" Target="media/image3.png"/><Relationship Id="rId42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rosstat.gov.ru/investment_nonfinancial" TargetMode="External"/><Relationship Id="rId29" Type="http://schemas.openxmlformats.org/officeDocument/2006/relationships/hyperlink" Target="https://www.forecast.ru/_ARCHIVE/Mon_MK/2026/macro67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br.ru/dkp/mp_dec/decision_key_rate/summary_key_rate_07052026/" TargetMode="External"/><Relationship Id="rId24" Type="http://schemas.openxmlformats.org/officeDocument/2006/relationships/hyperlink" Target="https://www.cbr.ru/dkp/mp_dec/decision_key_rate/summary_key_rate_07052026/" TargetMode="External"/><Relationship Id="rId32" Type="http://schemas.openxmlformats.org/officeDocument/2006/relationships/hyperlink" Target="https://rosstat.gov.ru/storage/mediabank/58_22-04-2026.html" TargetMode="External"/><Relationship Id="rId37" Type="http://schemas.openxmlformats.org/officeDocument/2006/relationships/hyperlink" Target="https://www.pmi.spglobal.com/Public/Home/PressRelease/f404507b49b6469ba9c2594c431aae64" TargetMode="External"/><Relationship Id="rId40" Type="http://schemas.openxmlformats.org/officeDocument/2006/relationships/hyperlink" Target="https://www.psbank.ru/business/rsbi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nbj.ru/publs/veb_sprognoziroval_zamedlenie_ekonomiki_i_/72255/" TargetMode="External"/><Relationship Id="rId23" Type="http://schemas.openxmlformats.org/officeDocument/2006/relationships/hyperlink" Target="https://rosstat.gov.ru/investment_nonfinancial" TargetMode="External"/><Relationship Id="rId28" Type="http://schemas.openxmlformats.org/officeDocument/2006/relationships/hyperlink" Target="https://www.rbc.ru/finances/15/01/2026/6968ee3c9a7947209db86b37?utm_referrer=https%3A%2F%2Fwww.google.com%2F" TargetMode="External"/><Relationship Id="rId36" Type="http://schemas.openxmlformats.org/officeDocument/2006/relationships/image" Target="media/image4.png"/><Relationship Id="rId10" Type="http://schemas.openxmlformats.org/officeDocument/2006/relationships/hyperlink" Target="https://nbj.ru/publs/veb_sprognoziroval_zamedlenie_ekonomiki_i_/72255/" TargetMode="External"/><Relationship Id="rId19" Type="http://schemas.openxmlformats.org/officeDocument/2006/relationships/footer" Target="footer1.xml"/><Relationship Id="rId31" Type="http://schemas.openxmlformats.org/officeDocument/2006/relationships/hyperlink" Target="https://www.interfax.ru/russia/996916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terfax.ru/business/1076588" TargetMode="External"/><Relationship Id="rId14" Type="http://schemas.openxmlformats.org/officeDocument/2006/relationships/hyperlink" Target="https://www.cbr.ru/dkp/mp_dec/decision_key_rate/comment_07052026/" TargetMode="External"/><Relationship Id="rId22" Type="http://schemas.openxmlformats.org/officeDocument/2006/relationships/hyperlink" Target="https://rosstat.gov.ru/investment_nonfinancial" TargetMode="External"/><Relationship Id="rId27" Type="http://schemas.openxmlformats.org/officeDocument/2006/relationships/hyperlink" Target="https://minfin.gov.ru/ru/press-center/?id_4=40343-informatsionnoe_soobshchenie_o_rezultatakh_razmeshcheniya_sredstv_fonda_natsionalnogo_blagosostoyaniya" TargetMode="External"/><Relationship Id="rId30" Type="http://schemas.openxmlformats.org/officeDocument/2006/relationships/hyperlink" Target="https://ecfor.ru/publication/indeks-promyshlennogo-optimizma-maj-2026/" TargetMode="External"/><Relationship Id="rId35" Type="http://schemas.openxmlformats.org/officeDocument/2006/relationships/hyperlink" Target="https://www.cbr.ru/analytics/dkp/monitoring/0526/" TargetMode="External"/><Relationship Id="rId43" Type="http://schemas.openxmlformats.org/officeDocument/2006/relationships/footer" Target="footer4.xml"/><Relationship Id="rId8" Type="http://schemas.openxmlformats.org/officeDocument/2006/relationships/hyperlink" Target="https://www.cbr.ru/dkp/mp_dec/decision_key_rate/summary_key_rate_07052026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br.ru/dkp/mp_dec/decision_key_rate/comment_07052026/" TargetMode="External"/><Relationship Id="rId17" Type="http://schemas.openxmlformats.org/officeDocument/2006/relationships/hyperlink" Target="https://rosstat.gov.ru/storage/mediabank/75_27-05-2026.html" TargetMode="External"/><Relationship Id="rId25" Type="http://schemas.openxmlformats.org/officeDocument/2006/relationships/hyperlink" Target="https://www.cbr.ru/hd_base/keyrate/" TargetMode="External"/><Relationship Id="rId33" Type="http://schemas.openxmlformats.org/officeDocument/2006/relationships/hyperlink" Target="https://www.cbr.ru/statistics/ddkp/mo_br/" TargetMode="External"/><Relationship Id="rId38" Type="http://schemas.openxmlformats.org/officeDocument/2006/relationships/hyperlink" Target="https://rspp.ru/activity/analytics/indeks-delovoy-sredy-v-aprele-2026-goda/" TargetMode="External"/><Relationship Id="rId20" Type="http://schemas.openxmlformats.org/officeDocument/2006/relationships/footer" Target="footer2.xml"/><Relationship Id="rId41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ommersant.ru/doc/84208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4596</Words>
  <Characters>26202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Коновалова Ольга</cp:lastModifiedBy>
  <cp:revision>2</cp:revision>
  <dcterms:created xsi:type="dcterms:W3CDTF">2026-06-10T10:45:00Z</dcterms:created>
  <dcterms:modified xsi:type="dcterms:W3CDTF">2026-06-10T10:45:00Z</dcterms:modified>
</cp:coreProperties>
</file>